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C2C8" w14:textId="17FD3A98" w:rsidR="00C53979" w:rsidRDefault="65E03257" w:rsidP="00BF78DD">
      <w:pPr>
        <w:ind w:right="-270"/>
        <w:rPr>
          <w:b/>
        </w:rPr>
      </w:pPr>
      <w:bookmarkStart w:id="0" w:name="_GoBack"/>
      <w:bookmarkEnd w:id="0"/>
      <w:r w:rsidRPr="65E03257">
        <w:rPr>
          <w:b/>
          <w:bCs/>
        </w:rPr>
        <w:t xml:space="preserve">Reduced healthcare resource utilization in patients with opioid use disorder </w:t>
      </w:r>
      <w:r w:rsidR="00833DD0">
        <w:rPr>
          <w:b/>
          <w:bCs/>
        </w:rPr>
        <w:t xml:space="preserve">in the </w:t>
      </w:r>
      <w:r w:rsidRPr="65E03257">
        <w:rPr>
          <w:b/>
          <w:bCs/>
        </w:rPr>
        <w:t xml:space="preserve">12 months after </w:t>
      </w:r>
      <w:r w:rsidR="00833DD0">
        <w:rPr>
          <w:b/>
          <w:bCs/>
        </w:rPr>
        <w:t xml:space="preserve">initiation of </w:t>
      </w:r>
      <w:r w:rsidRPr="65E03257">
        <w:rPr>
          <w:b/>
          <w:bCs/>
        </w:rPr>
        <w:t xml:space="preserve">a prescription digital therapeutic </w:t>
      </w:r>
    </w:p>
    <w:p w14:paraId="2F053CD8" w14:textId="7B3B3E9A" w:rsidR="00A04863" w:rsidRDefault="65E03257" w:rsidP="65E03257">
      <w:pPr>
        <w:spacing w:before="240"/>
        <w:rPr>
          <w:b/>
          <w:bCs/>
        </w:rPr>
      </w:pPr>
      <w:r w:rsidRPr="65E03257">
        <w:rPr>
          <w:b/>
          <w:bCs/>
        </w:rPr>
        <w:t>Running title</w:t>
      </w:r>
      <w:r w:rsidR="00196A66">
        <w:rPr>
          <w:b/>
          <w:bCs/>
        </w:rPr>
        <w:t xml:space="preserve">: </w:t>
      </w:r>
      <w:r w:rsidR="00833DD0">
        <w:rPr>
          <w:b/>
          <w:bCs/>
        </w:rPr>
        <w:t xml:space="preserve">Reduced HCRU with </w:t>
      </w:r>
      <w:r w:rsidR="00196A66">
        <w:rPr>
          <w:b/>
          <w:bCs/>
        </w:rPr>
        <w:t xml:space="preserve">PDT </w:t>
      </w:r>
      <w:r w:rsidR="00833DD0">
        <w:rPr>
          <w:b/>
          <w:bCs/>
        </w:rPr>
        <w:t xml:space="preserve">in patients with OUD </w:t>
      </w:r>
      <w:r w:rsidRPr="65E03257">
        <w:rPr>
          <w:b/>
          <w:bCs/>
        </w:rPr>
        <w:t>(</w:t>
      </w:r>
      <w:r w:rsidR="00196A66">
        <w:rPr>
          <w:b/>
          <w:bCs/>
        </w:rPr>
        <w:t>3</w:t>
      </w:r>
      <w:r w:rsidR="00833DD0">
        <w:rPr>
          <w:b/>
          <w:bCs/>
        </w:rPr>
        <w:t>5</w:t>
      </w:r>
      <w:r w:rsidR="00196A66">
        <w:rPr>
          <w:b/>
          <w:bCs/>
        </w:rPr>
        <w:t xml:space="preserve"> characters, limit </w:t>
      </w:r>
      <w:r w:rsidRPr="65E03257">
        <w:rPr>
          <w:b/>
          <w:bCs/>
        </w:rPr>
        <w:t>40)</w:t>
      </w:r>
    </w:p>
    <w:p w14:paraId="4E3397FC" w14:textId="5C29EFF8" w:rsidR="00201AC2" w:rsidRDefault="00A04863" w:rsidP="00BF78DD">
      <w:pPr>
        <w:spacing w:before="240"/>
        <w:rPr>
          <w:color w:val="000000"/>
          <w:vertAlign w:val="superscript"/>
        </w:rPr>
      </w:pPr>
      <w:r>
        <w:rPr>
          <w:b/>
        </w:rPr>
        <w:t>Authors:</w:t>
      </w:r>
      <w:r w:rsidR="00201AC2">
        <w:rPr>
          <w:b/>
        </w:rPr>
        <w:t xml:space="preserve"> </w:t>
      </w:r>
      <w:r w:rsidR="00201AC2" w:rsidRPr="00E17E96">
        <w:rPr>
          <w:color w:val="000000"/>
        </w:rPr>
        <w:t>Fulton F. Velez MD</w:t>
      </w:r>
      <w:r w:rsidR="00BF78DD">
        <w:rPr>
          <w:color w:val="000000"/>
        </w:rPr>
        <w:t>, MS, MBA</w:t>
      </w:r>
      <w:r w:rsidR="00201AC2" w:rsidRPr="003754BB">
        <w:rPr>
          <w:color w:val="000000"/>
          <w:vertAlign w:val="superscript"/>
        </w:rPr>
        <w:t>1</w:t>
      </w:r>
      <w:r w:rsidR="00BF78DD" w:rsidRPr="00BF78DD">
        <w:rPr>
          <w:color w:val="000000"/>
        </w:rPr>
        <w:t>;</w:t>
      </w:r>
      <w:r w:rsidR="00201AC2" w:rsidRPr="00E17E96">
        <w:rPr>
          <w:color w:val="000000"/>
        </w:rPr>
        <w:t xml:space="preserve"> Kathryn </w:t>
      </w:r>
      <w:r w:rsidR="00A16059">
        <w:rPr>
          <w:color w:val="000000"/>
        </w:rPr>
        <w:t xml:space="preserve">P. </w:t>
      </w:r>
      <w:r w:rsidR="00201AC2" w:rsidRPr="00E17E96">
        <w:rPr>
          <w:color w:val="000000"/>
        </w:rPr>
        <w:t>Anastassopoulos, MS</w:t>
      </w:r>
      <w:r w:rsidR="00201AC2" w:rsidRPr="003754BB">
        <w:rPr>
          <w:color w:val="000000"/>
          <w:vertAlign w:val="superscript"/>
        </w:rPr>
        <w:t>2</w:t>
      </w:r>
      <w:r w:rsidR="00BF78DD">
        <w:rPr>
          <w:color w:val="000000"/>
        </w:rPr>
        <w:t>;</w:t>
      </w:r>
      <w:r w:rsidR="00201AC2" w:rsidRPr="00E17E96">
        <w:rPr>
          <w:color w:val="000000"/>
        </w:rPr>
        <w:t xml:space="preserve"> Sam</w:t>
      </w:r>
      <w:r w:rsidR="00BF78DD">
        <w:rPr>
          <w:color w:val="000000"/>
        </w:rPr>
        <w:t>uel</w:t>
      </w:r>
      <w:r w:rsidR="00201AC2" w:rsidRPr="00E17E96">
        <w:rPr>
          <w:color w:val="000000"/>
        </w:rPr>
        <w:t xml:space="preserve"> Colman MS</w:t>
      </w:r>
      <w:r w:rsidR="00201AC2" w:rsidRPr="003754BB">
        <w:rPr>
          <w:color w:val="000000"/>
          <w:vertAlign w:val="superscript"/>
        </w:rPr>
        <w:t>2</w:t>
      </w:r>
      <w:r w:rsidR="00BF78DD">
        <w:rPr>
          <w:color w:val="000000"/>
        </w:rPr>
        <w:t>;</w:t>
      </w:r>
      <w:r w:rsidR="00601D71">
        <w:rPr>
          <w:color w:val="000000"/>
        </w:rPr>
        <w:t xml:space="preserve"> Neel Shah</w:t>
      </w:r>
      <w:r w:rsidR="00D43FF8">
        <w:rPr>
          <w:color w:val="000000"/>
        </w:rPr>
        <w:t>,</w:t>
      </w:r>
      <w:r w:rsidR="00601D71">
        <w:rPr>
          <w:color w:val="000000"/>
        </w:rPr>
        <w:t xml:space="preserve"> Pharm</w:t>
      </w:r>
      <w:r w:rsidR="00BF78DD">
        <w:rPr>
          <w:color w:val="000000"/>
        </w:rPr>
        <w:t>D</w:t>
      </w:r>
      <w:r w:rsidR="00601D71">
        <w:rPr>
          <w:color w:val="000000"/>
        </w:rPr>
        <w:t>, PhD</w:t>
      </w:r>
      <w:r w:rsidR="00601D71">
        <w:rPr>
          <w:color w:val="000000"/>
          <w:vertAlign w:val="superscript"/>
        </w:rPr>
        <w:t>1</w:t>
      </w:r>
      <w:r w:rsidR="00601D71">
        <w:rPr>
          <w:color w:val="000000"/>
        </w:rPr>
        <w:t>,</w:t>
      </w:r>
      <w:r w:rsidR="00201AC2" w:rsidRPr="00E17E96">
        <w:rPr>
          <w:color w:val="000000"/>
        </w:rPr>
        <w:t xml:space="preserve"> Laura Kauffman</w:t>
      </w:r>
      <w:r w:rsidR="00BF78DD">
        <w:rPr>
          <w:color w:val="000000"/>
        </w:rPr>
        <w:t>, MS</w:t>
      </w:r>
      <w:r w:rsidR="00201AC2" w:rsidRPr="003754BB">
        <w:rPr>
          <w:color w:val="000000"/>
          <w:vertAlign w:val="superscript"/>
        </w:rPr>
        <w:t>2</w:t>
      </w:r>
      <w:r w:rsidR="00201AC2" w:rsidRPr="00E17E96">
        <w:rPr>
          <w:color w:val="000000"/>
        </w:rPr>
        <w:t xml:space="preserve">, </w:t>
      </w:r>
      <w:r w:rsidR="00BF78DD">
        <w:rPr>
          <w:color w:val="000000"/>
        </w:rPr>
        <w:t xml:space="preserve">Sean </w:t>
      </w:r>
      <w:r w:rsidR="00833DD0">
        <w:rPr>
          <w:color w:val="000000"/>
        </w:rPr>
        <w:t xml:space="preserve">M. </w:t>
      </w:r>
      <w:r w:rsidR="00201AC2">
        <w:rPr>
          <w:color w:val="000000"/>
        </w:rPr>
        <w:t>Murphy</w:t>
      </w:r>
      <w:r w:rsidR="00BF78DD">
        <w:rPr>
          <w:color w:val="000000"/>
        </w:rPr>
        <w:t xml:space="preserve">, </w:t>
      </w:r>
      <w:r w:rsidR="00201AC2">
        <w:rPr>
          <w:color w:val="000000"/>
        </w:rPr>
        <w:t>PhD</w:t>
      </w:r>
      <w:r w:rsidR="00201AC2" w:rsidRPr="00201AC2">
        <w:rPr>
          <w:color w:val="000000"/>
          <w:vertAlign w:val="superscript"/>
        </w:rPr>
        <w:t>3</w:t>
      </w:r>
      <w:r w:rsidR="00201AC2">
        <w:rPr>
          <w:color w:val="000000"/>
        </w:rPr>
        <w:t xml:space="preserve">, </w:t>
      </w:r>
      <w:r w:rsidR="00201AC2" w:rsidRPr="00E17E96">
        <w:rPr>
          <w:color w:val="000000"/>
        </w:rPr>
        <w:t>Charles Ruetsch, PhD</w:t>
      </w:r>
      <w:r w:rsidR="00201AC2" w:rsidRPr="00201AC2">
        <w:rPr>
          <w:color w:val="000000"/>
          <w:vertAlign w:val="superscript"/>
        </w:rPr>
        <w:t>4</w:t>
      </w:r>
      <w:r w:rsidR="00201AC2" w:rsidRPr="00E17E96">
        <w:rPr>
          <w:color w:val="000000"/>
        </w:rPr>
        <w:t>, Yuri A. Maricich, MD</w:t>
      </w:r>
      <w:r w:rsidR="00201AC2" w:rsidRPr="003754BB">
        <w:rPr>
          <w:color w:val="000000"/>
          <w:vertAlign w:val="superscript"/>
        </w:rPr>
        <w:t>1</w:t>
      </w:r>
    </w:p>
    <w:p w14:paraId="63A229CA" w14:textId="3DC15439" w:rsidR="00201AC2" w:rsidRPr="00201AC2" w:rsidRDefault="00201AC2" w:rsidP="00BF78DD">
      <w:pPr>
        <w:spacing w:before="240"/>
        <w:rPr>
          <w:b/>
          <w:bCs/>
          <w:color w:val="000000"/>
        </w:rPr>
      </w:pPr>
      <w:r w:rsidRPr="00201AC2">
        <w:rPr>
          <w:b/>
          <w:bCs/>
          <w:color w:val="000000"/>
        </w:rPr>
        <w:t>Affiliations</w:t>
      </w:r>
      <w:r>
        <w:rPr>
          <w:b/>
          <w:bCs/>
          <w:color w:val="000000"/>
        </w:rPr>
        <w:t>:</w:t>
      </w:r>
    </w:p>
    <w:p w14:paraId="1F81D2A6" w14:textId="067EE8FD" w:rsidR="00201AC2" w:rsidRDefault="00201AC2" w:rsidP="003B64A3">
      <w:pPr>
        <w:spacing w:line="276" w:lineRule="auto"/>
        <w:ind w:left="270"/>
        <w:rPr>
          <w:bCs/>
        </w:rPr>
      </w:pPr>
      <w:r w:rsidRPr="00201AC2">
        <w:rPr>
          <w:bCs/>
          <w:vertAlign w:val="superscript"/>
        </w:rPr>
        <w:t xml:space="preserve">1 </w:t>
      </w:r>
      <w:r w:rsidRPr="00201AC2">
        <w:rPr>
          <w:bCs/>
        </w:rPr>
        <w:t>Pear Therapeutics</w:t>
      </w:r>
      <w:r w:rsidR="00833DD0">
        <w:rPr>
          <w:bCs/>
        </w:rPr>
        <w:t xml:space="preserve"> (US)</w:t>
      </w:r>
      <w:r w:rsidRPr="00201AC2">
        <w:rPr>
          <w:bCs/>
        </w:rPr>
        <w:t>, Inc.</w:t>
      </w:r>
      <w:r>
        <w:rPr>
          <w:bCs/>
        </w:rPr>
        <w:t xml:space="preserve"> Boston, MA, USA</w:t>
      </w:r>
    </w:p>
    <w:p w14:paraId="330DED2A" w14:textId="2C643007" w:rsidR="00201AC2" w:rsidRPr="00201AC2" w:rsidRDefault="00201AC2" w:rsidP="003B64A3">
      <w:pPr>
        <w:spacing w:line="276" w:lineRule="auto"/>
        <w:ind w:left="270"/>
        <w:rPr>
          <w:bCs/>
        </w:rPr>
      </w:pPr>
      <w:r w:rsidRPr="00E17E96">
        <w:rPr>
          <w:color w:val="000000"/>
          <w:vertAlign w:val="superscript"/>
        </w:rPr>
        <w:t>2</w:t>
      </w:r>
      <w:r>
        <w:rPr>
          <w:color w:val="000000"/>
          <w:vertAlign w:val="superscript"/>
        </w:rPr>
        <w:t xml:space="preserve"> </w:t>
      </w:r>
      <w:r w:rsidR="00182822" w:rsidRPr="00182822">
        <w:rPr>
          <w:color w:val="000000"/>
        </w:rPr>
        <w:t>Market Access Consulting, Labcorp Drug Development</w:t>
      </w:r>
      <w:r w:rsidRPr="00E17E96">
        <w:rPr>
          <w:color w:val="000000"/>
        </w:rPr>
        <w:t>, Gaithersburg, M</w:t>
      </w:r>
      <w:r>
        <w:rPr>
          <w:color w:val="000000"/>
        </w:rPr>
        <w:t>D, USA</w:t>
      </w:r>
    </w:p>
    <w:p w14:paraId="40027FA4" w14:textId="77777777" w:rsidR="00182822" w:rsidRDefault="00201AC2" w:rsidP="003B64A3">
      <w:pPr>
        <w:spacing w:line="276" w:lineRule="auto"/>
        <w:ind w:left="270"/>
      </w:pPr>
      <w:r w:rsidRPr="00201AC2">
        <w:rPr>
          <w:vertAlign w:val="superscript"/>
        </w:rPr>
        <w:t>3</w:t>
      </w:r>
      <w:r>
        <w:rPr>
          <w:vertAlign w:val="superscript"/>
        </w:rPr>
        <w:t xml:space="preserve"> </w:t>
      </w:r>
      <w:r>
        <w:t xml:space="preserve">Department of </w:t>
      </w:r>
      <w:r w:rsidR="00182822">
        <w:t>Population Health Sciences</w:t>
      </w:r>
      <w:r>
        <w:t xml:space="preserve">, </w:t>
      </w:r>
      <w:r w:rsidR="00182822">
        <w:t xml:space="preserve">Weill Cornell Medical College, New York, NY </w:t>
      </w:r>
    </w:p>
    <w:p w14:paraId="784CBCF7" w14:textId="14313D1F" w:rsidR="00201AC2" w:rsidRPr="00E17E96" w:rsidRDefault="00201AC2" w:rsidP="003B64A3">
      <w:pPr>
        <w:spacing w:line="276" w:lineRule="auto"/>
        <w:ind w:left="270"/>
        <w:rPr>
          <w:color w:val="000000"/>
        </w:rPr>
      </w:pPr>
      <w:r w:rsidRPr="00201AC2">
        <w:rPr>
          <w:color w:val="000000"/>
          <w:vertAlign w:val="superscript"/>
        </w:rPr>
        <w:t>4</w:t>
      </w:r>
      <w:r>
        <w:rPr>
          <w:color w:val="000000"/>
          <w:vertAlign w:val="superscript"/>
        </w:rPr>
        <w:t xml:space="preserve"> </w:t>
      </w:r>
      <w:r w:rsidRPr="00E17E96">
        <w:rPr>
          <w:color w:val="000000"/>
        </w:rPr>
        <w:t xml:space="preserve">Health Analytics, Columbia, </w:t>
      </w:r>
      <w:r>
        <w:rPr>
          <w:color w:val="000000"/>
        </w:rPr>
        <w:t>MD, USA</w:t>
      </w:r>
    </w:p>
    <w:p w14:paraId="137AA3C8" w14:textId="77777777" w:rsidR="00D43FF8" w:rsidRDefault="00D43FF8" w:rsidP="00D43FF8">
      <w:pPr>
        <w:spacing w:before="240"/>
        <w:rPr>
          <w:b/>
        </w:rPr>
      </w:pPr>
      <w:r>
        <w:rPr>
          <w:b/>
        </w:rPr>
        <w:t>Contact information:</w:t>
      </w:r>
    </w:p>
    <w:p w14:paraId="557ECBC5" w14:textId="612183D1" w:rsidR="00D43FF8" w:rsidRPr="005E6CE3" w:rsidRDefault="00D43FF8" w:rsidP="00D43FF8">
      <w:pPr>
        <w:rPr>
          <w:color w:val="000000"/>
        </w:rPr>
      </w:pPr>
      <w:r w:rsidRPr="005E6CE3">
        <w:rPr>
          <w:color w:val="000000"/>
        </w:rPr>
        <w:t xml:space="preserve">Fulton F. Velez: fulton.velez@peartherapeutics.com; </w:t>
      </w:r>
      <w:r w:rsidRPr="005E6CE3">
        <w:t>617 925 7848</w:t>
      </w:r>
    </w:p>
    <w:p w14:paraId="1E1AECE6" w14:textId="00834F82" w:rsidR="00D43FF8" w:rsidRPr="005E6CE3" w:rsidRDefault="00D43FF8" w:rsidP="00D43FF8">
      <w:pPr>
        <w:rPr>
          <w:color w:val="000000"/>
        </w:rPr>
      </w:pPr>
      <w:r w:rsidRPr="005E6CE3">
        <w:rPr>
          <w:color w:val="000000"/>
        </w:rPr>
        <w:t xml:space="preserve">Kathryn Anastassopoulos: </w:t>
      </w:r>
      <w:hyperlink r:id="rId8" w:history="1">
        <w:r w:rsidR="00182822" w:rsidRPr="00674DDA">
          <w:rPr>
            <w:rStyle w:val="Hyperlink"/>
          </w:rPr>
          <w:t>kathryn.anastassopoulos@</w:t>
        </w:r>
        <w:r w:rsidR="00182822" w:rsidRPr="00674DDA" w:rsidDel="00674DDA">
          <w:rPr>
            <w:rStyle w:val="Hyperlink"/>
          </w:rPr>
          <w:t>labcorp</w:t>
        </w:r>
        <w:r w:rsidR="00182822" w:rsidRPr="00674DDA">
          <w:rPr>
            <w:rStyle w:val="Hyperlink"/>
          </w:rPr>
          <w:t>.com</w:t>
        </w:r>
      </w:hyperlink>
      <w:r w:rsidR="00182822">
        <w:t xml:space="preserve"> </w:t>
      </w:r>
      <w:r w:rsidR="00D022DB">
        <w:rPr>
          <w:color w:val="000000" w:themeColor="text1"/>
        </w:rPr>
        <w:t>240 477 9728</w:t>
      </w:r>
    </w:p>
    <w:p w14:paraId="3CAF045B" w14:textId="0C4ED529" w:rsidR="00182822" w:rsidRDefault="00D43FF8" w:rsidP="00D43FF8">
      <w:pPr>
        <w:rPr>
          <w:color w:val="000000" w:themeColor="text1"/>
        </w:rPr>
      </w:pPr>
      <w:r w:rsidRPr="005E6CE3">
        <w:rPr>
          <w:color w:val="000000"/>
        </w:rPr>
        <w:t>Sam</w:t>
      </w:r>
      <w:r w:rsidR="00BF78DD" w:rsidRPr="005E6CE3">
        <w:rPr>
          <w:color w:val="000000"/>
        </w:rPr>
        <w:t>uel</w:t>
      </w:r>
      <w:r w:rsidRPr="005E6CE3">
        <w:rPr>
          <w:color w:val="000000"/>
        </w:rPr>
        <w:t xml:space="preserve"> Colman</w:t>
      </w:r>
      <w:r w:rsidR="00182822" w:rsidRPr="005E6CE3">
        <w:rPr>
          <w:color w:val="000000"/>
        </w:rPr>
        <w:t xml:space="preserve">: </w:t>
      </w:r>
      <w:hyperlink r:id="rId9" w:history="1">
        <w:r w:rsidR="00182822" w:rsidRPr="00674DDA">
          <w:rPr>
            <w:rStyle w:val="Hyperlink"/>
          </w:rPr>
          <w:t>sam.colman@</w:t>
        </w:r>
        <w:r w:rsidR="00182822" w:rsidRPr="00674DDA" w:rsidDel="00674DDA">
          <w:rPr>
            <w:rStyle w:val="Hyperlink"/>
          </w:rPr>
          <w:t>labcorp</w:t>
        </w:r>
        <w:r w:rsidR="00182822" w:rsidRPr="00674DDA">
          <w:rPr>
            <w:rStyle w:val="Hyperlink"/>
          </w:rPr>
          <w:t>.com</w:t>
        </w:r>
      </w:hyperlink>
      <w:r w:rsidR="00D022DB">
        <w:t xml:space="preserve">; </w:t>
      </w:r>
      <w:r w:rsidR="00182822">
        <w:rPr>
          <w:color w:val="000000" w:themeColor="text1"/>
        </w:rPr>
        <w:t>+61 2 6674 0952</w:t>
      </w:r>
    </w:p>
    <w:p w14:paraId="0368E248" w14:textId="73952B67" w:rsidR="00D43FF8" w:rsidRPr="005E6CE3" w:rsidRDefault="00D43FF8" w:rsidP="00D43FF8">
      <w:pPr>
        <w:rPr>
          <w:color w:val="000000"/>
        </w:rPr>
      </w:pPr>
      <w:r w:rsidRPr="005E6CE3">
        <w:rPr>
          <w:color w:val="000000"/>
        </w:rPr>
        <w:t xml:space="preserve">Neel Shah: neel.shah@peartherapeutics.com; </w:t>
      </w:r>
      <w:r w:rsidRPr="005E6CE3">
        <w:t>617 925 7848</w:t>
      </w:r>
    </w:p>
    <w:p w14:paraId="557BA68A" w14:textId="18B5AA2A" w:rsidR="00D43FF8" w:rsidRPr="005E6CE3" w:rsidRDefault="00D43FF8" w:rsidP="00D43FF8">
      <w:pPr>
        <w:rPr>
          <w:color w:val="000000"/>
          <w:vertAlign w:val="superscript"/>
        </w:rPr>
      </w:pPr>
      <w:r w:rsidRPr="005E6CE3">
        <w:rPr>
          <w:color w:val="000000"/>
        </w:rPr>
        <w:t xml:space="preserve">Laura Kauffman: </w:t>
      </w:r>
      <w:hyperlink r:id="rId10" w:history="1">
        <w:r w:rsidR="00A16059" w:rsidRPr="00A16059">
          <w:rPr>
            <w:rStyle w:val="Hyperlink"/>
          </w:rPr>
          <w:t>Laura.Kauffman@labcorp.com</w:t>
        </w:r>
      </w:hyperlink>
      <w:r w:rsidR="00D022DB">
        <w:rPr>
          <w:color w:val="000000" w:themeColor="text1"/>
        </w:rPr>
        <w:t xml:space="preserve">; </w:t>
      </w:r>
      <w:r w:rsidR="00182822">
        <w:rPr>
          <w:color w:val="000000" w:themeColor="text1"/>
        </w:rPr>
        <w:t>720-526-4498</w:t>
      </w:r>
    </w:p>
    <w:p w14:paraId="03B0BAED" w14:textId="31ADB541" w:rsidR="005E6CE3" w:rsidRPr="005E6CE3" w:rsidRDefault="005E6CE3" w:rsidP="005E6CE3">
      <w:pPr>
        <w:pBdr>
          <w:top w:val="nil"/>
          <w:left w:val="nil"/>
          <w:bottom w:val="nil"/>
          <w:right w:val="nil"/>
          <w:between w:val="nil"/>
        </w:pBdr>
        <w:spacing w:line="276" w:lineRule="auto"/>
        <w:jc w:val="both"/>
        <w:rPr>
          <w:color w:val="000000"/>
        </w:rPr>
      </w:pPr>
      <w:r w:rsidRPr="005E6CE3">
        <w:rPr>
          <w:color w:val="000000"/>
        </w:rPr>
        <w:t xml:space="preserve">Sean </w:t>
      </w:r>
      <w:r w:rsidR="00D43FF8" w:rsidRPr="005E6CE3">
        <w:rPr>
          <w:color w:val="000000"/>
        </w:rPr>
        <w:t xml:space="preserve">Murphy: </w:t>
      </w:r>
      <w:hyperlink r:id="rId11" w:history="1">
        <w:r w:rsidR="00D022DB" w:rsidRPr="008F7437">
          <w:rPr>
            <w:rStyle w:val="Hyperlink"/>
            <w:rFonts w:eastAsiaTheme="minorHAnsi"/>
          </w:rPr>
          <w:t>smm2010@med.cornell.edu</w:t>
        </w:r>
      </w:hyperlink>
      <w:r w:rsidR="00D022DB">
        <w:rPr>
          <w:rFonts w:eastAsiaTheme="minorHAnsi"/>
          <w:color w:val="000000"/>
        </w:rPr>
        <w:t xml:space="preserve">; </w:t>
      </w:r>
      <w:r w:rsidR="00D022DB" w:rsidRPr="00D022DB">
        <w:rPr>
          <w:rFonts w:eastAsiaTheme="minorHAnsi"/>
          <w:color w:val="000000"/>
        </w:rPr>
        <w:t>646.962.9710</w:t>
      </w:r>
    </w:p>
    <w:p w14:paraId="19147A3B" w14:textId="676C5073" w:rsidR="005E6CE3" w:rsidRPr="005E6CE3" w:rsidRDefault="00D43FF8" w:rsidP="005E6CE3">
      <w:r w:rsidRPr="005E6CE3">
        <w:rPr>
          <w:color w:val="000000"/>
        </w:rPr>
        <w:t xml:space="preserve">Charles Ruetsch: </w:t>
      </w:r>
      <w:hyperlink r:id="rId12" w:history="1">
        <w:r w:rsidR="00D022DB" w:rsidRPr="008F7437">
          <w:rPr>
            <w:rStyle w:val="Hyperlink"/>
            <w:shd w:val="clear" w:color="auto" w:fill="FFFFFF"/>
          </w:rPr>
          <w:t>c.ruetsch@healthanalytics.com</w:t>
        </w:r>
      </w:hyperlink>
      <w:r w:rsidR="00D022DB">
        <w:rPr>
          <w:color w:val="222222"/>
          <w:shd w:val="clear" w:color="auto" w:fill="FFFFFF"/>
        </w:rPr>
        <w:t xml:space="preserve">; </w:t>
      </w:r>
      <w:r w:rsidR="00D022DB" w:rsidRPr="00D022DB">
        <w:rPr>
          <w:color w:val="222222"/>
          <w:shd w:val="clear" w:color="auto" w:fill="FFFFFF"/>
        </w:rPr>
        <w:t>410-997-3314</w:t>
      </w:r>
    </w:p>
    <w:p w14:paraId="7AFAF499" w14:textId="38750063" w:rsidR="00201AC2" w:rsidRPr="005E6CE3" w:rsidRDefault="00D43FF8" w:rsidP="00D43FF8">
      <w:pPr>
        <w:rPr>
          <w:b/>
        </w:rPr>
      </w:pPr>
      <w:r w:rsidRPr="005E6CE3">
        <w:rPr>
          <w:color w:val="000000"/>
        </w:rPr>
        <w:t>Yuri A. Maricich</w:t>
      </w:r>
      <w:r w:rsidRPr="005E6CE3">
        <w:rPr>
          <w:b/>
        </w:rPr>
        <w:t xml:space="preserve">: </w:t>
      </w:r>
      <w:r w:rsidRPr="005E6CE3">
        <w:rPr>
          <w:bCs/>
        </w:rPr>
        <w:t>yuri.maricich@peartherapeutics.com;</w:t>
      </w:r>
      <w:r w:rsidRPr="005E6CE3">
        <w:rPr>
          <w:b/>
        </w:rPr>
        <w:t xml:space="preserve"> </w:t>
      </w:r>
      <w:r w:rsidRPr="005E6CE3">
        <w:t>617 925 7848</w:t>
      </w:r>
    </w:p>
    <w:p w14:paraId="50CF949E" w14:textId="0B73C4ED" w:rsidR="00D43FF8" w:rsidRDefault="00D43FF8" w:rsidP="002541D9">
      <w:pPr>
        <w:spacing w:before="240" w:line="480" w:lineRule="auto"/>
        <w:rPr>
          <w:b/>
        </w:rPr>
      </w:pPr>
      <w:r>
        <w:rPr>
          <w:b/>
        </w:rPr>
        <w:t xml:space="preserve">Corresponding </w:t>
      </w:r>
      <w:r w:rsidR="0015334E">
        <w:rPr>
          <w:b/>
        </w:rPr>
        <w:t>author:</w:t>
      </w:r>
    </w:p>
    <w:p w14:paraId="302DEB14" w14:textId="77777777" w:rsidR="0015334E" w:rsidRDefault="0015334E" w:rsidP="0015334E">
      <w:pPr>
        <w:rPr>
          <w:color w:val="000000"/>
        </w:rPr>
      </w:pPr>
      <w:r w:rsidRPr="00D43FF8">
        <w:rPr>
          <w:color w:val="000000"/>
        </w:rPr>
        <w:t>Fulton F. Velez</w:t>
      </w:r>
    </w:p>
    <w:p w14:paraId="5EF1C556" w14:textId="456DCD9E" w:rsidR="0015334E" w:rsidRDefault="0015334E" w:rsidP="0015334E">
      <w:pPr>
        <w:rPr>
          <w:color w:val="000000"/>
        </w:rPr>
      </w:pPr>
      <w:r>
        <w:rPr>
          <w:color w:val="000000"/>
        </w:rPr>
        <w:t>Pear Therapeutics</w:t>
      </w:r>
      <w:r w:rsidR="007933D1">
        <w:rPr>
          <w:color w:val="000000"/>
        </w:rPr>
        <w:t xml:space="preserve"> (US)</w:t>
      </w:r>
      <w:r>
        <w:rPr>
          <w:color w:val="000000"/>
        </w:rPr>
        <w:t>, Inc.</w:t>
      </w:r>
    </w:p>
    <w:p w14:paraId="3E124589" w14:textId="2E6192A2" w:rsidR="0015334E" w:rsidRDefault="0015334E" w:rsidP="0015334E">
      <w:pPr>
        <w:rPr>
          <w:color w:val="000000"/>
        </w:rPr>
      </w:pPr>
      <w:r>
        <w:rPr>
          <w:color w:val="000000"/>
        </w:rPr>
        <w:t>200 State St.</w:t>
      </w:r>
    </w:p>
    <w:p w14:paraId="70432DE9" w14:textId="639B072D" w:rsidR="0015334E" w:rsidRDefault="0015334E" w:rsidP="0015334E">
      <w:pPr>
        <w:rPr>
          <w:color w:val="000000"/>
        </w:rPr>
      </w:pPr>
      <w:r>
        <w:rPr>
          <w:color w:val="000000"/>
        </w:rPr>
        <w:t xml:space="preserve">Boston, MA  </w:t>
      </w:r>
      <w:r w:rsidRPr="00AA60F2">
        <w:rPr>
          <w:color w:val="000000"/>
        </w:rPr>
        <w:t>02109</w:t>
      </w:r>
      <w:r>
        <w:rPr>
          <w:color w:val="000000"/>
        </w:rPr>
        <w:t xml:space="preserve">  USA</w:t>
      </w:r>
    </w:p>
    <w:p w14:paraId="2AE1E0F5" w14:textId="77777777" w:rsidR="0015334E" w:rsidRDefault="0015334E" w:rsidP="0015334E">
      <w:pPr>
        <w:rPr>
          <w:color w:val="000000"/>
        </w:rPr>
      </w:pPr>
      <w:r w:rsidRPr="00D43FF8">
        <w:rPr>
          <w:color w:val="000000"/>
        </w:rPr>
        <w:t>fulton.velez@peartherapeutics.com</w:t>
      </w:r>
    </w:p>
    <w:p w14:paraId="203CB735" w14:textId="246AA8FE" w:rsidR="0015334E" w:rsidRPr="00D43FF8" w:rsidRDefault="0015334E" w:rsidP="0015334E">
      <w:pPr>
        <w:rPr>
          <w:color w:val="000000"/>
        </w:rPr>
      </w:pPr>
      <w:r w:rsidRPr="00D43FF8">
        <w:t>617 925 7848</w:t>
      </w:r>
    </w:p>
    <w:p w14:paraId="3D288921" w14:textId="77777777" w:rsidR="0015334E" w:rsidRDefault="0015334E" w:rsidP="009607D7">
      <w:pPr>
        <w:rPr>
          <w:b/>
        </w:rPr>
      </w:pPr>
    </w:p>
    <w:p w14:paraId="038A1BF7" w14:textId="77777777" w:rsidR="00AA7AE0" w:rsidRDefault="00AA7AE0" w:rsidP="00DB367F"/>
    <w:p w14:paraId="32A1DB3C" w14:textId="69332E8B" w:rsidR="00C53979" w:rsidRPr="00AA7AE0" w:rsidRDefault="001559EB" w:rsidP="00DB367F">
      <w:pPr>
        <w:rPr>
          <w:b/>
          <w:bCs/>
        </w:rPr>
      </w:pPr>
      <w:r w:rsidRPr="00AA7AE0">
        <w:rPr>
          <w:b/>
          <w:bCs/>
        </w:rPr>
        <w:br w:type="page"/>
      </w:r>
    </w:p>
    <w:p w14:paraId="0664496B" w14:textId="77777777" w:rsidR="00C53979" w:rsidRDefault="65E03257" w:rsidP="65E03257">
      <w:pPr>
        <w:spacing w:line="480" w:lineRule="auto"/>
        <w:rPr>
          <w:b/>
          <w:bCs/>
        </w:rPr>
      </w:pPr>
      <w:r w:rsidRPr="65E03257">
        <w:rPr>
          <w:b/>
          <w:bCs/>
        </w:rPr>
        <w:lastRenderedPageBreak/>
        <w:t>Abstract</w:t>
      </w:r>
    </w:p>
    <w:p w14:paraId="502B08B5" w14:textId="71849806" w:rsidR="00750D06" w:rsidRPr="001A51AE" w:rsidRDefault="00750D06" w:rsidP="00750D06">
      <w:pPr>
        <w:shd w:val="clear" w:color="auto" w:fill="FFFFFF"/>
        <w:spacing w:line="480" w:lineRule="atLeast"/>
        <w:rPr>
          <w:color w:val="000000"/>
        </w:rPr>
      </w:pPr>
      <w:r w:rsidRPr="001A51AE">
        <w:rPr>
          <w:b/>
          <w:bCs/>
          <w:color w:val="000000"/>
        </w:rPr>
        <w:t>Background and Aims:</w:t>
      </w:r>
      <w:r w:rsidRPr="001A51AE">
        <w:rPr>
          <w:color w:val="000000"/>
        </w:rPr>
        <w:t> </w:t>
      </w:r>
      <w:r w:rsidR="00277330" w:rsidRPr="001A51AE">
        <w:rPr>
          <w:color w:val="000000"/>
        </w:rPr>
        <w:t>reSET-O</w:t>
      </w:r>
      <w:r w:rsidR="00277330" w:rsidRPr="00750D06">
        <w:rPr>
          <w:color w:val="000000"/>
          <w:vertAlign w:val="superscript"/>
        </w:rPr>
        <w:t>®</w:t>
      </w:r>
      <w:r w:rsidR="00277330" w:rsidRPr="009514C3">
        <w:rPr>
          <w:color w:val="000000"/>
        </w:rPr>
        <w:t>,</w:t>
      </w:r>
      <w:r w:rsidR="00277330">
        <w:rPr>
          <w:color w:val="000000"/>
          <w:vertAlign w:val="superscript"/>
        </w:rPr>
        <w:t xml:space="preserve"> </w:t>
      </w:r>
      <w:r w:rsidR="00277330" w:rsidRPr="00D83C99">
        <w:rPr>
          <w:color w:val="000000"/>
        </w:rPr>
        <w:t xml:space="preserve">an </w:t>
      </w:r>
      <w:r w:rsidR="00277330">
        <w:rPr>
          <w:color w:val="000000"/>
        </w:rPr>
        <w:t>FDA-authorized p</w:t>
      </w:r>
      <w:r w:rsidR="00277330" w:rsidRPr="001A51AE">
        <w:rPr>
          <w:color w:val="000000"/>
        </w:rPr>
        <w:t xml:space="preserve">rescription </w:t>
      </w:r>
      <w:r w:rsidRPr="001A51AE">
        <w:rPr>
          <w:color w:val="000000"/>
        </w:rPr>
        <w:t>digital therapeutic (PDT)</w:t>
      </w:r>
      <w:r w:rsidR="007C4F31">
        <w:rPr>
          <w:color w:val="000000"/>
        </w:rPr>
        <w:t xml:space="preserve"> delivering cognitive behavioral therapy and contingency management to patients with opioid use disorder (OUD) </w:t>
      </w:r>
      <w:r w:rsidR="00DA1603">
        <w:rPr>
          <w:color w:val="000000"/>
        </w:rPr>
        <w:t xml:space="preserve">may </w:t>
      </w:r>
      <w:r w:rsidRPr="001A51AE">
        <w:rPr>
          <w:color w:val="000000"/>
        </w:rPr>
        <w:t>help improve clinical outcomes. </w:t>
      </w:r>
      <w:r w:rsidR="00277330">
        <w:rPr>
          <w:color w:val="000000"/>
        </w:rPr>
        <w:t>One-year d</w:t>
      </w:r>
      <w:r w:rsidR="00DB5A8E">
        <w:rPr>
          <w:color w:val="000000"/>
        </w:rPr>
        <w:t>ifferences in h</w:t>
      </w:r>
      <w:r w:rsidR="00DB5A8E" w:rsidRPr="001A51AE">
        <w:rPr>
          <w:color w:val="000000"/>
        </w:rPr>
        <w:t xml:space="preserve">ealthcare </w:t>
      </w:r>
      <w:r w:rsidR="00DB5A8E">
        <w:rPr>
          <w:color w:val="000000"/>
        </w:rPr>
        <w:t xml:space="preserve">resource </w:t>
      </w:r>
      <w:r w:rsidR="00DB5A8E" w:rsidRPr="001A51AE">
        <w:rPr>
          <w:color w:val="000000"/>
        </w:rPr>
        <w:t>utilization</w:t>
      </w:r>
      <w:r w:rsidR="00DB5A8E">
        <w:rPr>
          <w:color w:val="000000"/>
        </w:rPr>
        <w:t xml:space="preserve"> (HCRU)</w:t>
      </w:r>
      <w:r w:rsidR="00DB5A8E" w:rsidRPr="001A51AE">
        <w:rPr>
          <w:color w:val="000000"/>
        </w:rPr>
        <w:t xml:space="preserve"> and costs</w:t>
      </w:r>
      <w:r w:rsidRPr="001A51AE">
        <w:rPr>
          <w:color w:val="000000"/>
        </w:rPr>
        <w:t> </w:t>
      </w:r>
      <w:r w:rsidR="00277330">
        <w:rPr>
          <w:color w:val="000000"/>
        </w:rPr>
        <w:t>post-PDT initiation</w:t>
      </w:r>
      <w:r w:rsidR="00277330" w:rsidRPr="001A51AE">
        <w:rPr>
          <w:color w:val="000000"/>
        </w:rPr>
        <w:t xml:space="preserve"> </w:t>
      </w:r>
      <w:r w:rsidR="001F40BE">
        <w:rPr>
          <w:color w:val="000000"/>
        </w:rPr>
        <w:t>were evaluated</w:t>
      </w:r>
      <w:r w:rsidRPr="001A51AE">
        <w:rPr>
          <w:color w:val="000000"/>
        </w:rPr>
        <w:t>.</w:t>
      </w:r>
    </w:p>
    <w:p w14:paraId="1DF9F12E" w14:textId="61B55CB3" w:rsidR="00750D06" w:rsidRPr="001A51AE" w:rsidRDefault="00307DF5" w:rsidP="00750D06">
      <w:pPr>
        <w:shd w:val="clear" w:color="auto" w:fill="FFFFFF"/>
        <w:spacing w:line="480" w:lineRule="atLeast"/>
        <w:rPr>
          <w:color w:val="000000"/>
        </w:rPr>
      </w:pPr>
      <w:r>
        <w:rPr>
          <w:b/>
          <w:bCs/>
          <w:color w:val="000000"/>
        </w:rPr>
        <w:t>Methods</w:t>
      </w:r>
      <w:r w:rsidR="00750D06" w:rsidRPr="001A51AE">
        <w:rPr>
          <w:b/>
          <w:bCs/>
          <w:color w:val="000000"/>
        </w:rPr>
        <w:t>: </w:t>
      </w:r>
      <w:r w:rsidR="002F7BDF">
        <w:rPr>
          <w:color w:val="000000"/>
        </w:rPr>
        <w:t>R</w:t>
      </w:r>
      <w:r w:rsidR="00750D06" w:rsidRPr="001A51AE">
        <w:rPr>
          <w:color w:val="000000"/>
        </w:rPr>
        <w:t xml:space="preserve">etrospective analysis of </w:t>
      </w:r>
      <w:r w:rsidR="000A6E05">
        <w:rPr>
          <w:color w:val="000000"/>
        </w:rPr>
        <w:t>healthcare</w:t>
      </w:r>
      <w:r w:rsidR="00750D06" w:rsidRPr="001A51AE">
        <w:rPr>
          <w:color w:val="000000"/>
        </w:rPr>
        <w:t xml:space="preserve"> claims data compared all-cause HCRU </w:t>
      </w:r>
      <w:r w:rsidR="00890153">
        <w:rPr>
          <w:color w:val="000000"/>
        </w:rPr>
        <w:t>(</w:t>
      </w:r>
      <w:r w:rsidR="003140EA">
        <w:rPr>
          <w:color w:val="000000"/>
        </w:rPr>
        <w:t xml:space="preserve">across hospital </w:t>
      </w:r>
      <w:r w:rsidR="00A079DA">
        <w:rPr>
          <w:color w:val="000000"/>
        </w:rPr>
        <w:t xml:space="preserve">facility </w:t>
      </w:r>
      <w:r w:rsidR="003140EA">
        <w:rPr>
          <w:color w:val="000000"/>
        </w:rPr>
        <w:t xml:space="preserve">encounters [sum of inpatient stays, treat-and-release emergency department </w:t>
      </w:r>
      <w:r w:rsidR="003140EA" w:rsidRPr="002F1B0D">
        <w:rPr>
          <w:color w:val="000000"/>
        </w:rPr>
        <w:t>[ED] visits</w:t>
      </w:r>
      <w:r w:rsidR="003140EA">
        <w:rPr>
          <w:color w:val="000000"/>
        </w:rPr>
        <w:t>, partial hospitalizations, and hospital outpatient department visits] and clinician services [</w:t>
      </w:r>
      <w:r w:rsidR="00980269">
        <w:rPr>
          <w:color w:val="000000"/>
        </w:rPr>
        <w:t>procedure categories</w:t>
      </w:r>
      <w:r w:rsidR="003140EA">
        <w:rPr>
          <w:color w:val="000000"/>
        </w:rPr>
        <w:t>]</w:t>
      </w:r>
      <w:r w:rsidR="00890153">
        <w:rPr>
          <w:color w:val="000000"/>
        </w:rPr>
        <w:t xml:space="preserve">) </w:t>
      </w:r>
      <w:r w:rsidR="00853CA2">
        <w:rPr>
          <w:color w:val="000000"/>
        </w:rPr>
        <w:t xml:space="preserve">after PDT initiation </w:t>
      </w:r>
      <w:r w:rsidR="00D06A07">
        <w:rPr>
          <w:color w:val="000000"/>
        </w:rPr>
        <w:t xml:space="preserve">(index) </w:t>
      </w:r>
      <w:r w:rsidR="00E143DB">
        <w:rPr>
          <w:color w:val="000000"/>
        </w:rPr>
        <w:t xml:space="preserve">between reSET-O patients </w:t>
      </w:r>
      <w:r w:rsidR="00853CA2">
        <w:rPr>
          <w:color w:val="000000"/>
        </w:rPr>
        <w:t xml:space="preserve">and </w:t>
      </w:r>
      <w:r w:rsidR="00750D06" w:rsidRPr="001A51AE">
        <w:rPr>
          <w:color w:val="000000"/>
        </w:rPr>
        <w:t xml:space="preserve">controls. </w:t>
      </w:r>
      <w:r w:rsidR="000A6E05">
        <w:rPr>
          <w:color w:val="000000"/>
        </w:rPr>
        <w:t xml:space="preserve">Overall and Medicaid-specific differences </w:t>
      </w:r>
      <w:r w:rsidR="00750D06" w:rsidRPr="001A51AE">
        <w:rPr>
          <w:color w:val="000000"/>
        </w:rPr>
        <w:t>in HCRU</w:t>
      </w:r>
      <w:r w:rsidR="00D06A07">
        <w:rPr>
          <w:color w:val="000000"/>
        </w:rPr>
        <w:t xml:space="preserve">, </w:t>
      </w:r>
      <w:r w:rsidR="00F638DD">
        <w:rPr>
          <w:color w:val="000000"/>
        </w:rPr>
        <w:t>cost</w:t>
      </w:r>
      <w:r w:rsidR="00D06A07">
        <w:rPr>
          <w:color w:val="000000"/>
        </w:rPr>
        <w:t>s,</w:t>
      </w:r>
      <w:r w:rsidR="00F638DD">
        <w:rPr>
          <w:color w:val="000000"/>
        </w:rPr>
        <w:t xml:space="preserve"> </w:t>
      </w:r>
      <w:r w:rsidR="00853CA2">
        <w:rPr>
          <w:color w:val="000000"/>
        </w:rPr>
        <w:t xml:space="preserve">and buprenorphine adherence </w:t>
      </w:r>
      <w:r w:rsidR="00750D06" w:rsidRPr="001A51AE">
        <w:rPr>
          <w:color w:val="000000"/>
        </w:rPr>
        <w:t xml:space="preserve">were </w:t>
      </w:r>
      <w:r w:rsidR="00933C8C">
        <w:rPr>
          <w:color w:val="000000"/>
        </w:rPr>
        <w:t>evaluated</w:t>
      </w:r>
      <w:r w:rsidR="00750D06" w:rsidRPr="001A51AE">
        <w:rPr>
          <w:color w:val="000000"/>
        </w:rPr>
        <w:t>. </w:t>
      </w:r>
    </w:p>
    <w:p w14:paraId="3A055859" w14:textId="4EAF8387" w:rsidR="007E083B" w:rsidRPr="001A51AE" w:rsidRDefault="00750D06" w:rsidP="007E083B">
      <w:pPr>
        <w:shd w:val="clear" w:color="auto" w:fill="FFFFFF"/>
        <w:spacing w:after="120" w:line="480" w:lineRule="atLeast"/>
        <w:rPr>
          <w:color w:val="000000"/>
        </w:rPr>
      </w:pPr>
      <w:r w:rsidRPr="001A51AE">
        <w:rPr>
          <w:b/>
          <w:bCs/>
          <w:color w:val="000000"/>
        </w:rPr>
        <w:t>Findings: </w:t>
      </w:r>
      <w:r w:rsidR="004C0F4A">
        <w:rPr>
          <w:color w:val="000000"/>
        </w:rPr>
        <w:t>C</w:t>
      </w:r>
      <w:r w:rsidR="00853CA2" w:rsidRPr="00853CA2">
        <w:rPr>
          <w:color w:val="000000"/>
        </w:rPr>
        <w:t>ohorts included</w:t>
      </w:r>
      <w:r w:rsidR="00853CA2">
        <w:rPr>
          <w:b/>
          <w:bCs/>
          <w:color w:val="000000"/>
        </w:rPr>
        <w:t xml:space="preserve"> </w:t>
      </w:r>
      <w:r w:rsidRPr="001A51AE">
        <w:rPr>
          <w:color w:val="000000"/>
        </w:rPr>
        <w:t xml:space="preserve">901 </w:t>
      </w:r>
      <w:r w:rsidR="0067351E" w:rsidRPr="001A51AE">
        <w:rPr>
          <w:color w:val="000000"/>
        </w:rPr>
        <w:t xml:space="preserve">reSET-O </w:t>
      </w:r>
      <w:r w:rsidRPr="001A51AE">
        <w:rPr>
          <w:color w:val="000000"/>
        </w:rPr>
        <w:t xml:space="preserve">patients (median age 36 years, 62.4% female, 73.9% Medicaid), and </w:t>
      </w:r>
      <w:r w:rsidR="00285FF1">
        <w:rPr>
          <w:color w:val="000000"/>
        </w:rPr>
        <w:t>978</w:t>
      </w:r>
      <w:r w:rsidRPr="001A51AE">
        <w:rPr>
          <w:color w:val="000000"/>
        </w:rPr>
        <w:t xml:space="preserve"> control</w:t>
      </w:r>
      <w:r w:rsidR="00626817">
        <w:rPr>
          <w:color w:val="000000"/>
        </w:rPr>
        <w:t>s</w:t>
      </w:r>
      <w:r w:rsidRPr="001A51AE">
        <w:rPr>
          <w:color w:val="000000"/>
        </w:rPr>
        <w:t xml:space="preserve"> (median age 38 years, 5</w:t>
      </w:r>
      <w:r w:rsidR="00FC2304">
        <w:rPr>
          <w:color w:val="000000"/>
        </w:rPr>
        <w:t>4</w:t>
      </w:r>
      <w:r w:rsidRPr="001A51AE">
        <w:rPr>
          <w:color w:val="000000"/>
        </w:rPr>
        <w:t>.</w:t>
      </w:r>
      <w:r w:rsidR="00FC2304">
        <w:rPr>
          <w:color w:val="000000"/>
        </w:rPr>
        <w:t>9</w:t>
      </w:r>
      <w:r w:rsidRPr="001A51AE">
        <w:rPr>
          <w:color w:val="000000"/>
        </w:rPr>
        <w:t>% female, 6</w:t>
      </w:r>
      <w:r w:rsidR="00FC2304">
        <w:rPr>
          <w:color w:val="000000"/>
        </w:rPr>
        <w:t>6</w:t>
      </w:r>
      <w:r w:rsidRPr="001A51AE">
        <w:rPr>
          <w:color w:val="000000"/>
        </w:rPr>
        <w:t xml:space="preserve">% Medicaid). </w:t>
      </w:r>
      <w:r w:rsidR="001F40BE">
        <w:t xml:space="preserve">Compared to </w:t>
      </w:r>
      <w:r w:rsidR="00367D04">
        <w:t xml:space="preserve">the </w:t>
      </w:r>
      <w:r w:rsidR="001F40BE">
        <w:t>control</w:t>
      </w:r>
      <w:r w:rsidR="00367D04">
        <w:t xml:space="preserve"> group</w:t>
      </w:r>
      <w:r w:rsidR="001F40BE">
        <w:t xml:space="preserve">, </w:t>
      </w:r>
      <w:r w:rsidR="00367D04">
        <w:t>the reSET-O group experienced 1</w:t>
      </w:r>
      <w:r w:rsidR="00A96561">
        <w:t>2</w:t>
      </w:r>
      <w:r w:rsidR="00367D04">
        <w:t xml:space="preserve">% fewer total </w:t>
      </w:r>
      <w:r w:rsidR="00DF0EB3">
        <w:rPr>
          <w:color w:val="000000"/>
        </w:rPr>
        <w:t>unique hospital encounters</w:t>
      </w:r>
      <w:r w:rsidR="001F40BE">
        <w:rPr>
          <w:color w:val="000000"/>
        </w:rPr>
        <w:t xml:space="preserve"> </w:t>
      </w:r>
      <w:r w:rsidR="002F1B0D">
        <w:rPr>
          <w:color w:val="000000"/>
        </w:rPr>
        <w:t>(non-significant)</w:t>
      </w:r>
      <w:r w:rsidR="001F40BE">
        <w:rPr>
          <w:color w:val="000000"/>
        </w:rPr>
        <w:t>,</w:t>
      </w:r>
      <w:r w:rsidR="002F1B0D">
        <w:rPr>
          <w:color w:val="000000"/>
        </w:rPr>
        <w:t xml:space="preserve"> </w:t>
      </w:r>
      <w:r w:rsidR="00DF0EB3">
        <w:rPr>
          <w:color w:val="000000"/>
        </w:rPr>
        <w:t>driven by</w:t>
      </w:r>
      <w:r w:rsidR="00786A4E">
        <w:rPr>
          <w:color w:val="000000"/>
        </w:rPr>
        <w:t xml:space="preserve"> </w:t>
      </w:r>
      <w:r w:rsidR="00A57902">
        <w:rPr>
          <w:color w:val="000000"/>
        </w:rPr>
        <w:t xml:space="preserve">28% </w:t>
      </w:r>
      <w:r w:rsidR="00367D04">
        <w:rPr>
          <w:color w:val="000000"/>
        </w:rPr>
        <w:t xml:space="preserve">fewer </w:t>
      </w:r>
      <w:r w:rsidR="00786A4E" w:rsidRPr="001A51AE">
        <w:rPr>
          <w:color w:val="000000"/>
        </w:rPr>
        <w:t>inpatient stays (IRR: 0.7</w:t>
      </w:r>
      <w:r w:rsidR="00D71FAC">
        <w:rPr>
          <w:color w:val="000000"/>
        </w:rPr>
        <w:t>2</w:t>
      </w:r>
      <w:r w:rsidR="00786A4E" w:rsidRPr="001A51AE">
        <w:rPr>
          <w:color w:val="000000"/>
        </w:rPr>
        <w:t>; 95% CI: 0.5</w:t>
      </w:r>
      <w:r w:rsidR="00D71FAC">
        <w:rPr>
          <w:color w:val="000000"/>
        </w:rPr>
        <w:t>5</w:t>
      </w:r>
      <w:r w:rsidR="00786A4E" w:rsidRPr="001A51AE">
        <w:rPr>
          <w:color w:val="000000"/>
        </w:rPr>
        <w:t>-0.9</w:t>
      </w:r>
      <w:r w:rsidR="00A96561">
        <w:rPr>
          <w:color w:val="000000"/>
        </w:rPr>
        <w:t>6</w:t>
      </w:r>
      <w:r w:rsidR="00786A4E" w:rsidRPr="001A51AE">
        <w:rPr>
          <w:color w:val="000000"/>
        </w:rPr>
        <w:t>; </w:t>
      </w:r>
      <w:r w:rsidR="00786A4E" w:rsidRPr="001A51AE">
        <w:rPr>
          <w:i/>
          <w:iCs/>
          <w:color w:val="000000"/>
        </w:rPr>
        <w:t>P</w:t>
      </w:r>
      <w:r w:rsidR="00786A4E" w:rsidRPr="001A51AE">
        <w:rPr>
          <w:color w:val="000000"/>
        </w:rPr>
        <w:t>=0.0</w:t>
      </w:r>
      <w:r w:rsidR="00D71FAC">
        <w:rPr>
          <w:color w:val="000000"/>
        </w:rPr>
        <w:t>2</w:t>
      </w:r>
      <w:r w:rsidR="00FC2304">
        <w:rPr>
          <w:color w:val="000000"/>
        </w:rPr>
        <w:t>)</w:t>
      </w:r>
      <w:r w:rsidR="00367D04">
        <w:rPr>
          <w:color w:val="000000"/>
        </w:rPr>
        <w:t>, 5</w:t>
      </w:r>
      <w:r w:rsidR="00A96561">
        <w:rPr>
          <w:color w:val="000000"/>
        </w:rPr>
        <w:t>6</w:t>
      </w:r>
      <w:r w:rsidR="00367D04">
        <w:rPr>
          <w:color w:val="000000"/>
        </w:rPr>
        <w:t xml:space="preserve">% fewer </w:t>
      </w:r>
      <w:r w:rsidR="00786A4E" w:rsidRPr="001A51AE">
        <w:rPr>
          <w:color w:val="000000"/>
        </w:rPr>
        <w:t xml:space="preserve">hospital readmissions </w:t>
      </w:r>
      <w:r w:rsidR="005831F7">
        <w:rPr>
          <w:color w:val="000000"/>
        </w:rPr>
        <w:t>[</w:t>
      </w:r>
      <w:r w:rsidR="00786A4E" w:rsidRPr="001A51AE">
        <w:rPr>
          <w:color w:val="000000"/>
        </w:rPr>
        <w:t>IRR: 0.</w:t>
      </w:r>
      <w:r w:rsidR="00D71FAC">
        <w:rPr>
          <w:color w:val="000000"/>
        </w:rPr>
        <w:t>4</w:t>
      </w:r>
      <w:r w:rsidR="00A96561">
        <w:rPr>
          <w:color w:val="000000"/>
        </w:rPr>
        <w:t>4</w:t>
      </w:r>
      <w:r w:rsidR="00786A4E">
        <w:rPr>
          <w:color w:val="000000"/>
        </w:rPr>
        <w:t>;</w:t>
      </w:r>
      <w:r w:rsidR="00786A4E" w:rsidRPr="001A51AE">
        <w:rPr>
          <w:color w:val="000000"/>
        </w:rPr>
        <w:t xml:space="preserve"> 95% CI: 0.2</w:t>
      </w:r>
      <w:r w:rsidR="00A96561">
        <w:rPr>
          <w:color w:val="000000"/>
        </w:rPr>
        <w:t>0</w:t>
      </w:r>
      <w:r w:rsidR="00786A4E" w:rsidRPr="001A51AE">
        <w:rPr>
          <w:color w:val="000000"/>
        </w:rPr>
        <w:t>-</w:t>
      </w:r>
      <w:r w:rsidR="00A96561">
        <w:rPr>
          <w:color w:val="000000"/>
        </w:rPr>
        <w:t>0</w:t>
      </w:r>
      <w:r w:rsidR="00786A4E">
        <w:rPr>
          <w:color w:val="000000"/>
        </w:rPr>
        <w:t>.</w:t>
      </w:r>
      <w:r w:rsidR="00A96561">
        <w:rPr>
          <w:color w:val="000000"/>
        </w:rPr>
        <w:t>93</w:t>
      </w:r>
      <w:r w:rsidR="00786A4E" w:rsidRPr="001A51AE">
        <w:rPr>
          <w:color w:val="000000"/>
        </w:rPr>
        <w:t>; </w:t>
      </w:r>
      <w:r w:rsidR="00786A4E" w:rsidRPr="001A51AE">
        <w:rPr>
          <w:i/>
          <w:iCs/>
          <w:color w:val="000000"/>
        </w:rPr>
        <w:t>P</w:t>
      </w:r>
      <w:r w:rsidR="00786A4E" w:rsidRPr="001A51AE">
        <w:rPr>
          <w:color w:val="000000"/>
        </w:rPr>
        <w:t>=0.</w:t>
      </w:r>
      <w:r w:rsidR="00786A4E">
        <w:rPr>
          <w:color w:val="000000"/>
        </w:rPr>
        <w:t>0</w:t>
      </w:r>
      <w:r w:rsidR="00A96561">
        <w:rPr>
          <w:color w:val="000000"/>
        </w:rPr>
        <w:t>33</w:t>
      </w:r>
      <w:r w:rsidR="005831F7">
        <w:rPr>
          <w:color w:val="000000"/>
        </w:rPr>
        <w:t>]</w:t>
      </w:r>
      <w:r w:rsidR="009B5930">
        <w:rPr>
          <w:color w:val="000000"/>
        </w:rPr>
        <w:t>)</w:t>
      </w:r>
      <w:r w:rsidR="00786A4E" w:rsidRPr="001A51AE">
        <w:rPr>
          <w:color w:val="000000"/>
        </w:rPr>
        <w:t xml:space="preserve">, </w:t>
      </w:r>
      <w:r w:rsidR="00A57902">
        <w:rPr>
          <w:color w:val="000000"/>
        </w:rPr>
        <w:t xml:space="preserve">and </w:t>
      </w:r>
      <w:r w:rsidR="00A96561">
        <w:rPr>
          <w:color w:val="000000"/>
        </w:rPr>
        <w:t>7</w:t>
      </w:r>
      <w:r w:rsidR="00A57902">
        <w:rPr>
          <w:color w:val="000000"/>
        </w:rPr>
        <w:t xml:space="preserve">% </w:t>
      </w:r>
      <w:r w:rsidR="00367D04">
        <w:rPr>
          <w:color w:val="000000"/>
        </w:rPr>
        <w:t xml:space="preserve">fewer </w:t>
      </w:r>
      <w:r w:rsidR="00A73376">
        <w:rPr>
          <w:color w:val="000000"/>
        </w:rPr>
        <w:t>ED</w:t>
      </w:r>
      <w:r w:rsidR="00971161" w:rsidRPr="001A51AE">
        <w:rPr>
          <w:color w:val="000000"/>
        </w:rPr>
        <w:t xml:space="preserve"> visits (IRR: 0.</w:t>
      </w:r>
      <w:r w:rsidR="00971161">
        <w:rPr>
          <w:color w:val="000000"/>
        </w:rPr>
        <w:t>9</w:t>
      </w:r>
      <w:r w:rsidR="00A96561">
        <w:rPr>
          <w:color w:val="000000"/>
        </w:rPr>
        <w:t>3</w:t>
      </w:r>
      <w:r w:rsidR="00971161" w:rsidRPr="001A51AE">
        <w:rPr>
          <w:color w:val="000000"/>
        </w:rPr>
        <w:t>; 95% CI: 0.</w:t>
      </w:r>
      <w:r w:rsidR="00971161">
        <w:rPr>
          <w:color w:val="000000"/>
        </w:rPr>
        <w:t>79</w:t>
      </w:r>
      <w:r w:rsidR="00971161" w:rsidRPr="001A51AE">
        <w:rPr>
          <w:color w:val="000000"/>
        </w:rPr>
        <w:t>-</w:t>
      </w:r>
      <w:r w:rsidR="00971161">
        <w:rPr>
          <w:color w:val="000000"/>
        </w:rPr>
        <w:t>1</w:t>
      </w:r>
      <w:r w:rsidR="00971161" w:rsidRPr="001A51AE">
        <w:rPr>
          <w:color w:val="000000"/>
        </w:rPr>
        <w:t>.</w:t>
      </w:r>
      <w:r w:rsidR="00971161">
        <w:rPr>
          <w:color w:val="000000"/>
        </w:rPr>
        <w:t>0</w:t>
      </w:r>
      <w:r w:rsidR="00A96561">
        <w:rPr>
          <w:color w:val="000000"/>
        </w:rPr>
        <w:t>9</w:t>
      </w:r>
      <w:r w:rsidR="00971161" w:rsidRPr="001A51AE">
        <w:rPr>
          <w:color w:val="000000"/>
        </w:rPr>
        <w:t>; </w:t>
      </w:r>
      <w:r w:rsidR="00971161" w:rsidRPr="001A51AE">
        <w:rPr>
          <w:i/>
        </w:rPr>
        <w:t>P</w:t>
      </w:r>
      <w:r w:rsidR="00971161" w:rsidRPr="001A51AE">
        <w:t>=0.</w:t>
      </w:r>
      <w:r w:rsidR="00971161">
        <w:t>3</w:t>
      </w:r>
      <w:r w:rsidR="00A96561">
        <w:t>86</w:t>
      </w:r>
      <w:r w:rsidR="00971161" w:rsidRPr="001A51AE">
        <w:rPr>
          <w:color w:val="000000"/>
        </w:rPr>
        <w:t>)</w:t>
      </w:r>
      <w:r w:rsidR="007E083B" w:rsidRPr="001A51AE">
        <w:rPr>
          <w:color w:val="000000"/>
        </w:rPr>
        <w:t>.</w:t>
      </w:r>
      <w:r w:rsidR="00653D73">
        <w:rPr>
          <w:color w:val="000000"/>
        </w:rPr>
        <w:t xml:space="preserve"> </w:t>
      </w:r>
      <w:r w:rsidR="006714CD">
        <w:rPr>
          <w:color w:val="000000"/>
        </w:rPr>
        <w:t>Total c</w:t>
      </w:r>
      <w:r w:rsidR="00653D73">
        <w:rPr>
          <w:color w:val="000000"/>
        </w:rPr>
        <w:t xml:space="preserve">linician services increased by </w:t>
      </w:r>
      <w:r w:rsidR="00A079DA">
        <w:rPr>
          <w:color w:val="000000"/>
        </w:rPr>
        <w:t>1</w:t>
      </w:r>
      <w:r w:rsidR="00653D73">
        <w:rPr>
          <w:color w:val="000000"/>
        </w:rPr>
        <w:t>,</w:t>
      </w:r>
      <w:r w:rsidR="00A079DA">
        <w:rPr>
          <w:color w:val="000000"/>
        </w:rPr>
        <w:t>391</w:t>
      </w:r>
      <w:r w:rsidR="00653D73">
        <w:rPr>
          <w:color w:val="000000"/>
        </w:rPr>
        <w:t xml:space="preserve"> </w:t>
      </w:r>
      <w:r w:rsidR="00367D04">
        <w:rPr>
          <w:color w:val="000000"/>
        </w:rPr>
        <w:t xml:space="preserve">events </w:t>
      </w:r>
      <w:r w:rsidR="00A079DA">
        <w:rPr>
          <w:color w:val="000000"/>
        </w:rPr>
        <w:t>versus</w:t>
      </w:r>
      <w:r w:rsidR="00653D73">
        <w:rPr>
          <w:color w:val="000000"/>
        </w:rPr>
        <w:t xml:space="preserve"> controls.</w:t>
      </w:r>
      <w:r w:rsidR="00171ECD">
        <w:rPr>
          <w:color w:val="000000"/>
        </w:rPr>
        <w:t xml:space="preserve"> </w:t>
      </w:r>
      <w:r w:rsidR="00293FAE">
        <w:rPr>
          <w:color w:val="000000"/>
        </w:rPr>
        <w:t xml:space="preserve">Differences were greater among the Medicaid patients. Adjustment for concomitant baseline substance use and mental health disorders resulted in similar </w:t>
      </w:r>
      <w:r w:rsidR="00D64495">
        <w:rPr>
          <w:color w:val="000000"/>
        </w:rPr>
        <w:t>HCRU incidence rate ratios</w:t>
      </w:r>
      <w:r w:rsidR="00293FAE">
        <w:rPr>
          <w:color w:val="000000"/>
        </w:rPr>
        <w:t xml:space="preserve">. </w:t>
      </w:r>
    </w:p>
    <w:p w14:paraId="3C31EE7A" w14:textId="5EF248E9" w:rsidR="00750D06" w:rsidRPr="001A51AE" w:rsidRDefault="00750D06" w:rsidP="00750D06">
      <w:pPr>
        <w:shd w:val="clear" w:color="auto" w:fill="FFFFFF"/>
        <w:spacing w:after="120" w:line="480" w:lineRule="atLeast"/>
        <w:rPr>
          <w:color w:val="000000"/>
        </w:rPr>
      </w:pPr>
      <w:r w:rsidRPr="001A51AE">
        <w:rPr>
          <w:color w:val="000000"/>
        </w:rPr>
        <w:t>            </w:t>
      </w:r>
      <w:r w:rsidR="00786A4E">
        <w:rPr>
          <w:color w:val="000000"/>
        </w:rPr>
        <w:t>Changes</w:t>
      </w:r>
      <w:r w:rsidR="00786A4E" w:rsidRPr="001A51AE">
        <w:rPr>
          <w:color w:val="000000"/>
        </w:rPr>
        <w:t xml:space="preserve"> </w:t>
      </w:r>
      <w:r w:rsidR="00933C8C" w:rsidRPr="001A51AE">
        <w:rPr>
          <w:color w:val="000000"/>
        </w:rPr>
        <w:t xml:space="preserve">in </w:t>
      </w:r>
      <w:r w:rsidR="00653D73">
        <w:rPr>
          <w:color w:val="000000"/>
        </w:rPr>
        <w:t xml:space="preserve">all-cause </w:t>
      </w:r>
      <w:r w:rsidR="00933C8C">
        <w:rPr>
          <w:color w:val="000000"/>
        </w:rPr>
        <w:t>HCRU drove</w:t>
      </w:r>
      <w:r w:rsidR="00933C8C" w:rsidRPr="001A51AE">
        <w:rPr>
          <w:color w:val="000000"/>
        </w:rPr>
        <w:t xml:space="preserve"> per-patient </w:t>
      </w:r>
      <w:r w:rsidR="0067351E">
        <w:rPr>
          <w:color w:val="000000"/>
        </w:rPr>
        <w:t xml:space="preserve">per-year </w:t>
      </w:r>
      <w:r w:rsidR="00933C8C" w:rsidRPr="001A51AE">
        <w:rPr>
          <w:color w:val="000000"/>
        </w:rPr>
        <w:t xml:space="preserve">cost </w:t>
      </w:r>
      <w:r w:rsidR="00786A4E">
        <w:rPr>
          <w:color w:val="000000"/>
        </w:rPr>
        <w:t>differences</w:t>
      </w:r>
      <w:r w:rsidR="00786A4E" w:rsidRPr="001A51AE">
        <w:rPr>
          <w:color w:val="000000"/>
        </w:rPr>
        <w:t xml:space="preserve"> </w:t>
      </w:r>
      <w:r w:rsidR="00933C8C" w:rsidRPr="001A51AE">
        <w:rPr>
          <w:color w:val="000000"/>
        </w:rPr>
        <w:t>of</w:t>
      </w:r>
      <w:r w:rsidR="00933C8C" w:rsidRPr="001963C8">
        <w:rPr>
          <w:color w:val="000000"/>
        </w:rPr>
        <w:t xml:space="preserve"> </w:t>
      </w:r>
      <w:r w:rsidR="00933C8C" w:rsidRPr="00987E31">
        <w:rPr>
          <w:color w:val="000000"/>
        </w:rPr>
        <w:t>-$</w:t>
      </w:r>
      <w:r w:rsidR="004F34DC">
        <w:rPr>
          <w:color w:val="000000"/>
        </w:rPr>
        <w:t>2</w:t>
      </w:r>
      <w:r w:rsidR="001C55C4" w:rsidRPr="00987E31">
        <w:rPr>
          <w:color w:val="000000"/>
        </w:rPr>
        <w:t>,</w:t>
      </w:r>
      <w:r w:rsidR="00A96A32">
        <w:rPr>
          <w:color w:val="000000"/>
        </w:rPr>
        <w:t>791</w:t>
      </w:r>
      <w:r w:rsidR="00A96A32" w:rsidRPr="001963C8">
        <w:rPr>
          <w:color w:val="000000"/>
        </w:rPr>
        <w:t xml:space="preserve"> </w:t>
      </w:r>
      <w:r w:rsidR="00DA1603" w:rsidRPr="001963C8">
        <w:rPr>
          <w:color w:val="000000"/>
        </w:rPr>
        <w:t>versus</w:t>
      </w:r>
      <w:r w:rsidR="00933C8C" w:rsidRPr="001963C8">
        <w:rPr>
          <w:color w:val="000000"/>
        </w:rPr>
        <w:t xml:space="preserve"> controls </w:t>
      </w:r>
      <w:r w:rsidR="00933C8C" w:rsidRPr="00987E31">
        <w:rPr>
          <w:color w:val="000000"/>
        </w:rPr>
        <w:t>(-$</w:t>
      </w:r>
      <w:r w:rsidR="00A96A32">
        <w:rPr>
          <w:color w:val="000000"/>
        </w:rPr>
        <w:t>3</w:t>
      </w:r>
      <w:r w:rsidR="00933C8C" w:rsidRPr="00987E31">
        <w:rPr>
          <w:color w:val="000000"/>
        </w:rPr>
        <w:t>,</w:t>
      </w:r>
      <w:r w:rsidR="00A96A32">
        <w:rPr>
          <w:color w:val="000000"/>
        </w:rPr>
        <w:t xml:space="preserve">832 </w:t>
      </w:r>
      <w:r w:rsidR="00F37798">
        <w:rPr>
          <w:color w:val="000000"/>
        </w:rPr>
        <w:t>versus</w:t>
      </w:r>
      <w:r w:rsidR="00933C8C">
        <w:rPr>
          <w:color w:val="000000"/>
        </w:rPr>
        <w:t xml:space="preserve"> Medicaid controls)</w:t>
      </w:r>
      <w:r w:rsidR="00933C8C" w:rsidRPr="001A51AE">
        <w:rPr>
          <w:color w:val="000000"/>
        </w:rPr>
        <w:t>.</w:t>
      </w:r>
      <w:r w:rsidR="00933C8C" w:rsidRPr="00675ADB">
        <w:rPr>
          <w:color w:val="000000"/>
        </w:rPr>
        <w:t xml:space="preserve"> </w:t>
      </w:r>
      <w:r w:rsidR="00A57902">
        <w:rPr>
          <w:color w:val="000000"/>
        </w:rPr>
        <w:t>A</w:t>
      </w:r>
      <w:r w:rsidR="00933C8C" w:rsidRPr="001A51AE">
        <w:rPr>
          <w:color w:val="000000"/>
        </w:rPr>
        <w:t>djusted mean medication possession ratio </w:t>
      </w:r>
      <w:r w:rsidR="00E143DB">
        <w:rPr>
          <w:color w:val="000000"/>
        </w:rPr>
        <w:t>was</w:t>
      </w:r>
      <w:r w:rsidR="00933C8C" w:rsidRPr="001A51AE">
        <w:rPr>
          <w:color w:val="000000"/>
        </w:rPr>
        <w:t xml:space="preserve"> 0.848 (SE 0.0118)</w:t>
      </w:r>
      <w:r w:rsidR="00971161">
        <w:rPr>
          <w:color w:val="000000"/>
        </w:rPr>
        <w:t xml:space="preserve"> </w:t>
      </w:r>
      <w:r w:rsidR="00BA3EF7">
        <w:rPr>
          <w:color w:val="000000"/>
        </w:rPr>
        <w:t>at 12 months for reSET-O patients</w:t>
      </w:r>
      <w:r w:rsidR="00971161">
        <w:rPr>
          <w:color w:val="000000"/>
        </w:rPr>
        <w:t xml:space="preserve">, </w:t>
      </w:r>
      <w:r w:rsidR="00BA3EF7">
        <w:rPr>
          <w:color w:val="000000"/>
        </w:rPr>
        <w:t xml:space="preserve">which </w:t>
      </w:r>
      <w:r w:rsidR="009B5930">
        <w:rPr>
          <w:color w:val="000000"/>
        </w:rPr>
        <w:t xml:space="preserve">was </w:t>
      </w:r>
      <w:r w:rsidR="00DE4910">
        <w:rPr>
          <w:color w:val="000000"/>
        </w:rPr>
        <w:t xml:space="preserve">significantly </w:t>
      </w:r>
      <w:r w:rsidR="00971161">
        <w:rPr>
          <w:color w:val="000000"/>
        </w:rPr>
        <w:t xml:space="preserve">higher </w:t>
      </w:r>
      <w:r w:rsidR="00BA3EF7">
        <w:rPr>
          <w:color w:val="000000"/>
        </w:rPr>
        <w:t>than</w:t>
      </w:r>
      <w:r w:rsidR="00971161">
        <w:rPr>
          <w:color w:val="000000"/>
        </w:rPr>
        <w:t xml:space="preserve"> controls</w:t>
      </w:r>
      <w:r w:rsidR="00DE4910">
        <w:rPr>
          <w:color w:val="000000"/>
        </w:rPr>
        <w:t xml:space="preserve"> (0</w:t>
      </w:r>
      <w:r w:rsidR="00D33C53">
        <w:rPr>
          <w:color w:val="000000"/>
        </w:rPr>
        <w:t>.</w:t>
      </w:r>
      <w:r w:rsidR="00DE4910">
        <w:rPr>
          <w:color w:val="000000"/>
        </w:rPr>
        <w:t>76</w:t>
      </w:r>
      <w:r w:rsidR="00D33C53">
        <w:rPr>
          <w:color w:val="000000"/>
        </w:rPr>
        <w:t xml:space="preserve">1 [SE 0.0108]; </w:t>
      </w:r>
      <w:r w:rsidR="00D33C53" w:rsidRPr="001A51AE">
        <w:rPr>
          <w:i/>
          <w:iCs/>
          <w:color w:val="000000"/>
        </w:rPr>
        <w:t>P</w:t>
      </w:r>
      <w:r w:rsidR="00D33C53" w:rsidRPr="001A51AE">
        <w:rPr>
          <w:color w:val="000000"/>
        </w:rPr>
        <w:t>&lt;0.0</w:t>
      </w:r>
      <w:r w:rsidR="00D33C53">
        <w:rPr>
          <w:color w:val="000000"/>
        </w:rPr>
        <w:t>0</w:t>
      </w:r>
      <w:r w:rsidR="00D33C53" w:rsidRPr="001A51AE">
        <w:rPr>
          <w:color w:val="000000"/>
        </w:rPr>
        <w:t>1</w:t>
      </w:r>
      <w:r w:rsidR="00DE4910">
        <w:rPr>
          <w:color w:val="000000"/>
        </w:rPr>
        <w:t>)</w:t>
      </w:r>
      <w:r w:rsidR="00933C8C" w:rsidRPr="001A51AE">
        <w:rPr>
          <w:color w:val="000000"/>
        </w:rPr>
        <w:t>.</w:t>
      </w:r>
    </w:p>
    <w:p w14:paraId="62968DBE" w14:textId="05B21D97" w:rsidR="00750D06" w:rsidRPr="001A51AE" w:rsidRDefault="00750D06" w:rsidP="00750D06">
      <w:pPr>
        <w:shd w:val="clear" w:color="auto" w:fill="FFFFFF"/>
        <w:spacing w:line="480" w:lineRule="atLeast"/>
        <w:rPr>
          <w:color w:val="000000"/>
        </w:rPr>
      </w:pPr>
      <w:r w:rsidRPr="001A51AE">
        <w:rPr>
          <w:b/>
          <w:bCs/>
          <w:color w:val="000000"/>
        </w:rPr>
        <w:t>Conclusions: </w:t>
      </w:r>
      <w:r w:rsidRPr="001A51AE">
        <w:rPr>
          <w:color w:val="000000"/>
        </w:rPr>
        <w:t xml:space="preserve">Use of </w:t>
      </w:r>
      <w:r w:rsidR="007E083B">
        <w:rPr>
          <w:color w:val="000000"/>
        </w:rPr>
        <w:t>reSET-O</w:t>
      </w:r>
      <w:r w:rsidRPr="001A51AE">
        <w:rPr>
          <w:color w:val="000000"/>
        </w:rPr>
        <w:t xml:space="preserve"> is associated with </w:t>
      </w:r>
      <w:r w:rsidR="00A73376">
        <w:rPr>
          <w:color w:val="000000"/>
        </w:rPr>
        <w:t xml:space="preserve">significant and </w:t>
      </w:r>
      <w:r w:rsidRPr="001A51AE">
        <w:rPr>
          <w:color w:val="000000"/>
        </w:rPr>
        <w:t xml:space="preserve">durable </w:t>
      </w:r>
      <w:r w:rsidR="00890153">
        <w:rPr>
          <w:color w:val="000000"/>
        </w:rPr>
        <w:t xml:space="preserve">real-world </w:t>
      </w:r>
      <w:r w:rsidRPr="001A51AE">
        <w:rPr>
          <w:color w:val="000000"/>
        </w:rPr>
        <w:t>reductions in </w:t>
      </w:r>
      <w:r w:rsidR="00A73376">
        <w:rPr>
          <w:color w:val="000000"/>
        </w:rPr>
        <w:t xml:space="preserve">ED and </w:t>
      </w:r>
      <w:r w:rsidR="000A6E05">
        <w:rPr>
          <w:color w:val="000000"/>
        </w:rPr>
        <w:t>inpatient</w:t>
      </w:r>
      <w:r w:rsidR="00A73376">
        <w:rPr>
          <w:color w:val="000000"/>
        </w:rPr>
        <w:t xml:space="preserve"> (including readmissions) utilization</w:t>
      </w:r>
      <w:r w:rsidRPr="001A51AE">
        <w:rPr>
          <w:color w:val="000000"/>
        </w:rPr>
        <w:t xml:space="preserve">, </w:t>
      </w:r>
      <w:r w:rsidR="00890153">
        <w:rPr>
          <w:color w:val="000000"/>
        </w:rPr>
        <w:t xml:space="preserve">reduced net </w:t>
      </w:r>
      <w:r w:rsidR="00D71FAC">
        <w:rPr>
          <w:color w:val="000000"/>
        </w:rPr>
        <w:t>costs</w:t>
      </w:r>
      <w:r w:rsidR="00971161">
        <w:rPr>
          <w:color w:val="000000"/>
        </w:rPr>
        <w:t xml:space="preserve">, and </w:t>
      </w:r>
      <w:r w:rsidRPr="001A51AE">
        <w:rPr>
          <w:color w:val="000000"/>
        </w:rPr>
        <w:t xml:space="preserve">increased </w:t>
      </w:r>
      <w:r w:rsidR="00C9261A">
        <w:rPr>
          <w:color w:val="000000"/>
        </w:rPr>
        <w:lastRenderedPageBreak/>
        <w:t xml:space="preserve">clinician services and </w:t>
      </w:r>
      <w:r w:rsidRPr="001A51AE">
        <w:rPr>
          <w:color w:val="000000"/>
        </w:rPr>
        <w:t>buprenorphine adherence. </w:t>
      </w:r>
      <w:r w:rsidR="00FC584B">
        <w:rPr>
          <w:color w:val="000000"/>
        </w:rPr>
        <w:t>D</w:t>
      </w:r>
      <w:r w:rsidR="0067351E">
        <w:rPr>
          <w:color w:val="000000"/>
        </w:rPr>
        <w:t>ifference</w:t>
      </w:r>
      <w:r w:rsidR="000A6E05">
        <w:rPr>
          <w:color w:val="000000"/>
        </w:rPr>
        <w:t>s</w:t>
      </w:r>
      <w:r w:rsidR="0067351E">
        <w:rPr>
          <w:color w:val="000000"/>
        </w:rPr>
        <w:t xml:space="preserve"> </w:t>
      </w:r>
      <w:r w:rsidR="002F1B0D">
        <w:rPr>
          <w:color w:val="000000"/>
        </w:rPr>
        <w:t xml:space="preserve">in costs </w:t>
      </w:r>
      <w:r w:rsidR="0067351E">
        <w:rPr>
          <w:color w:val="000000"/>
        </w:rPr>
        <w:t>v</w:t>
      </w:r>
      <w:r w:rsidR="002F1B0D">
        <w:rPr>
          <w:color w:val="000000"/>
        </w:rPr>
        <w:t>ersus</w:t>
      </w:r>
      <w:r w:rsidR="0067351E">
        <w:rPr>
          <w:color w:val="000000"/>
        </w:rPr>
        <w:t xml:space="preserve"> controls w</w:t>
      </w:r>
      <w:r w:rsidR="000A6E05">
        <w:rPr>
          <w:color w:val="000000"/>
        </w:rPr>
        <w:t>ere</w:t>
      </w:r>
      <w:r w:rsidR="0067351E">
        <w:rPr>
          <w:color w:val="000000"/>
        </w:rPr>
        <w:t xml:space="preserve"> </w:t>
      </w:r>
      <w:r w:rsidR="00FC584B">
        <w:rPr>
          <w:color w:val="000000"/>
        </w:rPr>
        <w:t xml:space="preserve">greatest </w:t>
      </w:r>
      <w:r w:rsidR="00C9261A">
        <w:rPr>
          <w:color w:val="000000"/>
        </w:rPr>
        <w:t xml:space="preserve">among </w:t>
      </w:r>
      <w:r w:rsidR="0067351E">
        <w:rPr>
          <w:color w:val="000000"/>
        </w:rPr>
        <w:t>Medicaid</w:t>
      </w:r>
      <w:r w:rsidR="00C9261A">
        <w:rPr>
          <w:color w:val="000000"/>
        </w:rPr>
        <w:t xml:space="preserve"> patients</w:t>
      </w:r>
      <w:r w:rsidR="0067351E">
        <w:rPr>
          <w:color w:val="000000"/>
        </w:rPr>
        <w:t>.</w:t>
      </w:r>
    </w:p>
    <w:p w14:paraId="5F33563A" w14:textId="1A65D863" w:rsidR="00A66EF6" w:rsidRDefault="65E03257" w:rsidP="65E03257">
      <w:pPr>
        <w:spacing w:line="480" w:lineRule="auto"/>
      </w:pPr>
      <w:r w:rsidRPr="65E03257">
        <w:rPr>
          <w:color w:val="000000" w:themeColor="text1"/>
        </w:rPr>
        <w:t xml:space="preserve"> </w:t>
      </w:r>
    </w:p>
    <w:p w14:paraId="69CBDDFA" w14:textId="712F04E3" w:rsidR="00CD444A" w:rsidRDefault="001559EB" w:rsidP="002541D9">
      <w:pPr>
        <w:spacing w:line="480" w:lineRule="auto"/>
      </w:pPr>
      <w:r>
        <w:rPr>
          <w:b/>
        </w:rPr>
        <w:t>Keywords:</w:t>
      </w:r>
      <w:r>
        <w:t xml:space="preserve"> </w:t>
      </w:r>
      <w:r w:rsidR="00933C8C">
        <w:t xml:space="preserve">digital therapeutic, DTx, </w:t>
      </w:r>
      <w:r>
        <w:t xml:space="preserve">opioid use disorder; prescription digital therapeutic; </w:t>
      </w:r>
      <w:r w:rsidR="003035FF">
        <w:t xml:space="preserve">PDT; </w:t>
      </w:r>
      <w:r>
        <w:t xml:space="preserve">community reinforcement approach; contingency management; reSET-O; healthcare resource utilization </w:t>
      </w:r>
    </w:p>
    <w:p w14:paraId="57F0898E" w14:textId="77777777" w:rsidR="00254156" w:rsidRDefault="00254156" w:rsidP="006E2A1D">
      <w:pPr>
        <w:spacing w:line="360" w:lineRule="auto"/>
        <w:rPr>
          <w:b/>
          <w:bCs/>
        </w:rPr>
      </w:pPr>
    </w:p>
    <w:p w14:paraId="0747A6A8" w14:textId="67FC5FB5" w:rsidR="006E2A1D" w:rsidRPr="009A48C0" w:rsidRDefault="006E2A1D" w:rsidP="006E2A1D">
      <w:pPr>
        <w:spacing w:line="360" w:lineRule="auto"/>
        <w:rPr>
          <w:b/>
          <w:bCs/>
        </w:rPr>
      </w:pPr>
      <w:r w:rsidRPr="009A48C0">
        <w:rPr>
          <w:b/>
          <w:bCs/>
        </w:rPr>
        <w:t>Key Summary Points</w:t>
      </w:r>
    </w:p>
    <w:p w14:paraId="0FACAEFC" w14:textId="77777777" w:rsidR="006E2A1D" w:rsidRDefault="006E2A1D" w:rsidP="006E2A1D">
      <w:pPr>
        <w:spacing w:line="360" w:lineRule="auto"/>
      </w:pPr>
      <w:r>
        <w:t>Why carry out this study?</w:t>
      </w:r>
    </w:p>
    <w:p w14:paraId="6EC1BE1B" w14:textId="3E448FC4" w:rsidR="006E2A1D" w:rsidRPr="00A52050" w:rsidRDefault="006E2A1D" w:rsidP="006E2A1D">
      <w:pPr>
        <w:pStyle w:val="ListParagraph"/>
        <w:numPr>
          <w:ilvl w:val="0"/>
          <w:numId w:val="23"/>
        </w:numPr>
        <w:spacing w:line="360" w:lineRule="auto"/>
      </w:pPr>
      <w:r>
        <w:rPr>
          <w:color w:val="000000" w:themeColor="text1"/>
        </w:rPr>
        <w:t>Opioid use disorder (O</w:t>
      </w:r>
      <w:r w:rsidRPr="00471DA6">
        <w:rPr>
          <w:color w:val="000000" w:themeColor="text1"/>
        </w:rPr>
        <w:t>UD</w:t>
      </w:r>
      <w:r>
        <w:rPr>
          <w:color w:val="000000" w:themeColor="text1"/>
        </w:rPr>
        <w:t>)</w:t>
      </w:r>
      <w:r w:rsidRPr="00471DA6">
        <w:rPr>
          <w:color w:val="000000" w:themeColor="text1"/>
        </w:rPr>
        <w:t xml:space="preserve"> </w:t>
      </w:r>
      <w:r w:rsidR="00391D05">
        <w:rPr>
          <w:color w:val="000000" w:themeColor="text1"/>
        </w:rPr>
        <w:t xml:space="preserve">continues to </w:t>
      </w:r>
      <w:r w:rsidRPr="00471DA6">
        <w:rPr>
          <w:color w:val="000000" w:themeColor="text1"/>
        </w:rPr>
        <w:t>place a heavy cost burden on health care system</w:t>
      </w:r>
      <w:r>
        <w:rPr>
          <w:color w:val="000000" w:themeColor="text1"/>
        </w:rPr>
        <w:t>s</w:t>
      </w:r>
      <w:r w:rsidRPr="00471DA6">
        <w:rPr>
          <w:color w:val="000000" w:themeColor="text1"/>
        </w:rPr>
        <w:t xml:space="preserve"> and society at large.</w:t>
      </w:r>
      <w:r w:rsidR="00391D05">
        <w:rPr>
          <w:color w:val="000000" w:themeColor="text1"/>
        </w:rPr>
        <w:t xml:space="preserve"> Many patients suffer from </w:t>
      </w:r>
      <w:r w:rsidR="00A94BA0">
        <w:rPr>
          <w:color w:val="000000" w:themeColor="text1"/>
        </w:rPr>
        <w:t>chronic</w:t>
      </w:r>
      <w:r w:rsidR="00391D05">
        <w:rPr>
          <w:color w:val="000000" w:themeColor="text1"/>
        </w:rPr>
        <w:t xml:space="preserve"> </w:t>
      </w:r>
      <w:r w:rsidR="00A94BA0">
        <w:rPr>
          <w:color w:val="000000" w:themeColor="text1"/>
        </w:rPr>
        <w:t xml:space="preserve">OUD </w:t>
      </w:r>
      <w:r w:rsidR="00391D05">
        <w:rPr>
          <w:color w:val="000000" w:themeColor="text1"/>
        </w:rPr>
        <w:t>and incur avoidable healthcare resource use and costs.</w:t>
      </w:r>
    </w:p>
    <w:p w14:paraId="19A6F35E" w14:textId="121D4C55" w:rsidR="006E2A1D" w:rsidRDefault="006E2A1D" w:rsidP="006E2A1D">
      <w:pPr>
        <w:pStyle w:val="ListParagraph"/>
        <w:numPr>
          <w:ilvl w:val="0"/>
          <w:numId w:val="23"/>
        </w:numPr>
        <w:spacing w:line="360" w:lineRule="auto"/>
      </w:pPr>
      <w:r>
        <w:rPr>
          <w:color w:val="000000" w:themeColor="text1"/>
        </w:rPr>
        <w:t>Many barriers to effective treatment of OUD may be overcome with prescription digital therapeutics (PDTs) delivering evidence-based, FDA-approved treatments to patients via mobile devices.</w:t>
      </w:r>
    </w:p>
    <w:p w14:paraId="78B28FDC" w14:textId="475A0862" w:rsidR="00867AA5" w:rsidRDefault="006E2A1D" w:rsidP="00254156">
      <w:pPr>
        <w:pStyle w:val="ListParagraph"/>
        <w:numPr>
          <w:ilvl w:val="0"/>
          <w:numId w:val="23"/>
        </w:numPr>
        <w:spacing w:line="360" w:lineRule="auto"/>
      </w:pPr>
      <w:r>
        <w:t>This study evaluated the real-world 12-month impact on healthcare resource utilization (HCRU) by comparing 901 patients with OUD treated with the reSET-O</w:t>
      </w:r>
      <w:r w:rsidRPr="00060B98">
        <w:rPr>
          <w:vertAlign w:val="superscript"/>
        </w:rPr>
        <w:t>®</w:t>
      </w:r>
      <w:r>
        <w:t xml:space="preserve"> PDT to </w:t>
      </w:r>
      <w:r w:rsidR="00285FF1">
        <w:t xml:space="preserve">978 </w:t>
      </w:r>
      <w:r>
        <w:t>patients who were not treated with the PDT.</w:t>
      </w:r>
    </w:p>
    <w:p w14:paraId="23117AB1" w14:textId="77777777" w:rsidR="006E2A1D" w:rsidRDefault="006E2A1D" w:rsidP="006E2A1D">
      <w:pPr>
        <w:spacing w:line="360" w:lineRule="auto"/>
      </w:pPr>
    </w:p>
    <w:p w14:paraId="709C9E82" w14:textId="77777777" w:rsidR="006E2A1D" w:rsidRDefault="006E2A1D" w:rsidP="006E2A1D">
      <w:pPr>
        <w:spacing w:line="360" w:lineRule="auto"/>
      </w:pPr>
      <w:r>
        <w:t>What was learned from this study?</w:t>
      </w:r>
    </w:p>
    <w:p w14:paraId="4379C2A2" w14:textId="5C442EC9" w:rsidR="006E2A1D" w:rsidRPr="00A52050" w:rsidRDefault="006E2A1D" w:rsidP="006E2A1D">
      <w:pPr>
        <w:pStyle w:val="ListParagraph"/>
        <w:numPr>
          <w:ilvl w:val="0"/>
          <w:numId w:val="24"/>
        </w:numPr>
        <w:spacing w:line="360" w:lineRule="auto"/>
        <w:rPr>
          <w:rFonts w:eastAsia="SymbolMT"/>
          <w:color w:val="2B3333"/>
        </w:rPr>
      </w:pPr>
      <w:r>
        <w:t xml:space="preserve">Compared to controls, </w:t>
      </w:r>
      <w:r w:rsidR="00367D04">
        <w:t xml:space="preserve">in the 12 months </w:t>
      </w:r>
      <w:r>
        <w:t xml:space="preserve">after treatment with the PDT, </w:t>
      </w:r>
      <w:r w:rsidR="00367D04">
        <w:t xml:space="preserve">patients in the reSET-O group had </w:t>
      </w:r>
      <w:r>
        <w:t>significant</w:t>
      </w:r>
      <w:r w:rsidR="00367D04">
        <w:t>ly fewer</w:t>
      </w:r>
      <w:r>
        <w:t xml:space="preserve"> </w:t>
      </w:r>
      <w:r w:rsidR="00367D04">
        <w:t>inpatient stays</w:t>
      </w:r>
      <w:r w:rsidR="008E7FD9">
        <w:t xml:space="preserve"> as well as lower rates of </w:t>
      </w:r>
      <w:r>
        <w:t>overall hospital encounters, partial hospitalizations, and emergency department visits.</w:t>
      </w:r>
    </w:p>
    <w:p w14:paraId="312C9FC9" w14:textId="2EA1A12C" w:rsidR="006E2A1D" w:rsidRPr="0065630F" w:rsidRDefault="008E7FD9" w:rsidP="006E2A1D">
      <w:pPr>
        <w:pStyle w:val="ListParagraph"/>
        <w:keepNext/>
        <w:numPr>
          <w:ilvl w:val="0"/>
          <w:numId w:val="24"/>
        </w:numPr>
        <w:spacing w:after="120" w:line="360" w:lineRule="auto"/>
      </w:pPr>
      <w:r>
        <w:rPr>
          <w:color w:val="000000"/>
        </w:rPr>
        <w:t>12</w:t>
      </w:r>
      <w:r w:rsidR="006E2A1D" w:rsidRPr="003A0D3F">
        <w:rPr>
          <w:color w:val="000000"/>
        </w:rPr>
        <w:t>-month per-patient cost</w:t>
      </w:r>
      <w:r w:rsidR="00870DE4">
        <w:rPr>
          <w:color w:val="000000"/>
        </w:rPr>
        <w:t>s related to fewer facility encounters were</w:t>
      </w:r>
      <w:r w:rsidR="006E2A1D" w:rsidRPr="003A0D3F">
        <w:rPr>
          <w:color w:val="000000"/>
        </w:rPr>
        <w:t xml:space="preserve"> </w:t>
      </w:r>
      <w:r w:rsidR="00C9261A">
        <w:rPr>
          <w:color w:val="000000"/>
        </w:rPr>
        <w:t>-</w:t>
      </w:r>
      <w:r w:rsidRPr="00987E31">
        <w:rPr>
          <w:color w:val="000000"/>
        </w:rPr>
        <w:t>$</w:t>
      </w:r>
      <w:r>
        <w:rPr>
          <w:color w:val="000000"/>
        </w:rPr>
        <w:t>2</w:t>
      </w:r>
      <w:r w:rsidRPr="00987E31">
        <w:rPr>
          <w:color w:val="000000"/>
        </w:rPr>
        <w:t>,</w:t>
      </w:r>
      <w:r>
        <w:rPr>
          <w:color w:val="000000"/>
        </w:rPr>
        <w:t>791</w:t>
      </w:r>
      <w:r w:rsidRPr="001963C8">
        <w:rPr>
          <w:color w:val="000000"/>
        </w:rPr>
        <w:t xml:space="preserve"> </w:t>
      </w:r>
      <w:r w:rsidR="00C9261A">
        <w:rPr>
          <w:color w:val="000000"/>
        </w:rPr>
        <w:t xml:space="preserve">lower </w:t>
      </w:r>
      <w:r>
        <w:rPr>
          <w:color w:val="000000"/>
        </w:rPr>
        <w:t xml:space="preserve">compared to controls, with even </w:t>
      </w:r>
      <w:r w:rsidR="00D64495">
        <w:rPr>
          <w:color w:val="000000"/>
        </w:rPr>
        <w:t>lower costs</w:t>
      </w:r>
      <w:r>
        <w:rPr>
          <w:color w:val="000000"/>
        </w:rPr>
        <w:t xml:space="preserve"> </w:t>
      </w:r>
      <w:r w:rsidR="00D64495">
        <w:rPr>
          <w:color w:val="000000"/>
        </w:rPr>
        <w:t>per</w:t>
      </w:r>
      <w:r>
        <w:rPr>
          <w:color w:val="000000"/>
        </w:rPr>
        <w:t xml:space="preserve"> Medicaid</w:t>
      </w:r>
      <w:r w:rsidR="00D64495">
        <w:rPr>
          <w:color w:val="000000"/>
        </w:rPr>
        <w:t xml:space="preserve"> patient (-</w:t>
      </w:r>
      <w:r w:rsidR="00D64495" w:rsidRPr="00987E31">
        <w:rPr>
          <w:color w:val="000000"/>
        </w:rPr>
        <w:t>$</w:t>
      </w:r>
      <w:r w:rsidR="00D64495">
        <w:rPr>
          <w:color w:val="000000"/>
        </w:rPr>
        <w:t>3</w:t>
      </w:r>
      <w:r w:rsidR="00D64495" w:rsidRPr="00987E31">
        <w:rPr>
          <w:color w:val="000000"/>
        </w:rPr>
        <w:t>,</w:t>
      </w:r>
      <w:r w:rsidR="00D64495">
        <w:rPr>
          <w:color w:val="000000"/>
        </w:rPr>
        <w:t>832)</w:t>
      </w:r>
      <w:r w:rsidR="006E2A1D" w:rsidRPr="003A0D3F">
        <w:rPr>
          <w:color w:val="000000"/>
        </w:rPr>
        <w:t>.</w:t>
      </w:r>
    </w:p>
    <w:p w14:paraId="09B0DA85" w14:textId="199D0BAE" w:rsidR="0065630F" w:rsidRDefault="0065630F" w:rsidP="0065630F">
      <w:pPr>
        <w:keepNext/>
        <w:spacing w:after="120" w:line="360" w:lineRule="auto"/>
      </w:pPr>
    </w:p>
    <w:p w14:paraId="4503F999" w14:textId="77777777" w:rsidR="0065630F" w:rsidRDefault="0065630F" w:rsidP="0065630F">
      <w:pPr>
        <w:rPr>
          <w:rFonts w:ascii="Segoe UI" w:hAnsi="Segoe UI" w:cs="Segoe UI"/>
          <w:b/>
          <w:sz w:val="22"/>
        </w:rPr>
      </w:pPr>
      <w:r>
        <w:rPr>
          <w:rFonts w:ascii="Segoe UI" w:hAnsi="Segoe UI" w:cs="Segoe UI"/>
          <w:b/>
          <w:sz w:val="22"/>
        </w:rPr>
        <w:t>DIGITAL FEATURES</w:t>
      </w:r>
    </w:p>
    <w:p w14:paraId="448B348E" w14:textId="77777777" w:rsidR="0065630F" w:rsidRDefault="0065630F" w:rsidP="0065630F"/>
    <w:p w14:paraId="2B6BFA7D" w14:textId="356E72A4" w:rsidR="0065630F" w:rsidRPr="00C04CF4" w:rsidRDefault="0065630F" w:rsidP="0065630F">
      <w:pPr>
        <w:rPr>
          <w:rFonts w:ascii="Segoe UI" w:hAnsi="Segoe UI" w:cs="Segoe UI"/>
          <w:b/>
          <w:bCs/>
          <w:sz w:val="20"/>
          <w:szCs w:val="20"/>
        </w:rPr>
      </w:pPr>
      <w:r w:rsidRPr="00C04CF4">
        <w:rPr>
          <w:rFonts w:ascii="Segoe UI" w:hAnsi="Segoe UI" w:cs="Segoe UI"/>
          <w:sz w:val="20"/>
          <w:szCs w:val="20"/>
        </w:rPr>
        <w:t xml:space="preserve">This article is published with digital features, including [list digital features available e.g. a summary slide and video abstract], to facilitate understanding of the article. To view digital features for this article go to </w:t>
      </w:r>
      <w:hyperlink r:id="rId13" w:history="1">
        <w:r w:rsidRPr="00495230">
          <w:rPr>
            <w:rStyle w:val="Hyperlink"/>
            <w:rFonts w:ascii="Segoe UI" w:hAnsi="Segoe UI" w:cs="Segoe UI"/>
            <w:sz w:val="20"/>
            <w:szCs w:val="20"/>
          </w:rPr>
          <w:t>https://doi.org/</w:t>
        </w:r>
        <w:r w:rsidRPr="00495230">
          <w:rPr>
            <w:rStyle w:val="Hyperlink"/>
          </w:rPr>
          <w:t>10.6084/m9.figshare.20013323</w:t>
        </w:r>
      </w:hyperlink>
      <w:r>
        <w:t xml:space="preserve"> </w:t>
      </w:r>
    </w:p>
    <w:p w14:paraId="38D5D7F8" w14:textId="77777777" w:rsidR="0065630F" w:rsidRDefault="0065630F" w:rsidP="0065630F">
      <w:pPr>
        <w:keepNext/>
        <w:spacing w:after="120" w:line="360" w:lineRule="auto"/>
      </w:pPr>
    </w:p>
    <w:p w14:paraId="5C383A5A" w14:textId="77777777" w:rsidR="009B3A41" w:rsidRDefault="009B3A41" w:rsidP="002541D9">
      <w:pPr>
        <w:spacing w:line="480" w:lineRule="auto"/>
      </w:pPr>
    </w:p>
    <w:p w14:paraId="6E7775C4" w14:textId="13B37338" w:rsidR="00C53979" w:rsidRDefault="001559EB" w:rsidP="002541D9">
      <w:pPr>
        <w:spacing w:line="480" w:lineRule="auto"/>
        <w:rPr>
          <w:b/>
        </w:rPr>
      </w:pPr>
      <w:r>
        <w:br w:type="page"/>
      </w:r>
      <w:r w:rsidRPr="00B0403F">
        <w:rPr>
          <w:b/>
        </w:rPr>
        <w:lastRenderedPageBreak/>
        <w:t>Introduction</w:t>
      </w:r>
    </w:p>
    <w:p w14:paraId="6750A21F" w14:textId="523E8D89" w:rsidR="00B966F3" w:rsidRPr="00B966F3" w:rsidRDefault="000A3E96" w:rsidP="00B966F3">
      <w:pPr>
        <w:pStyle w:val="Bodycopy"/>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F50F7E">
        <w:rPr>
          <w:rFonts w:ascii="Times New Roman" w:hAnsi="Times New Roman" w:cs="Times New Roman"/>
          <w:sz w:val="24"/>
          <w:szCs w:val="24"/>
        </w:rPr>
        <w:t>ccording to the Centers for Disease Control and Prevention</w:t>
      </w:r>
      <w:r>
        <w:rPr>
          <w:rFonts w:ascii="Times New Roman" w:hAnsi="Times New Roman" w:cs="Times New Roman"/>
          <w:sz w:val="24"/>
          <w:szCs w:val="24"/>
        </w:rPr>
        <w:t>,</w:t>
      </w:r>
      <w:r w:rsidRPr="00F50F7E">
        <w:rPr>
          <w:rFonts w:ascii="Times New Roman" w:hAnsi="Times New Roman" w:cs="Times New Roman"/>
          <w:sz w:val="24"/>
          <w:szCs w:val="24"/>
        </w:rPr>
        <w:t xml:space="preserve"> </w:t>
      </w:r>
      <w:r>
        <w:rPr>
          <w:rFonts w:ascii="Times New Roman" w:hAnsi="Times New Roman" w:cs="Times New Roman"/>
          <w:sz w:val="24"/>
          <w:szCs w:val="24"/>
        </w:rPr>
        <w:t>t</w:t>
      </w:r>
      <w:r w:rsidRPr="00F50F7E">
        <w:rPr>
          <w:rFonts w:ascii="Times New Roman" w:hAnsi="Times New Roman" w:cs="Times New Roman"/>
          <w:sz w:val="24"/>
          <w:szCs w:val="24"/>
        </w:rPr>
        <w:t xml:space="preserve">hree </w:t>
      </w:r>
      <w:r w:rsidR="00E24BC4" w:rsidRPr="00F50F7E">
        <w:rPr>
          <w:rFonts w:ascii="Times New Roman" w:hAnsi="Times New Roman" w:cs="Times New Roman"/>
          <w:sz w:val="24"/>
          <w:szCs w:val="24"/>
        </w:rPr>
        <w:t xml:space="preserve">successive waves of overdose deaths associated with both </w:t>
      </w:r>
      <w:r w:rsidR="00671BA0">
        <w:rPr>
          <w:rFonts w:ascii="Times New Roman" w:hAnsi="Times New Roman" w:cs="Times New Roman"/>
          <w:sz w:val="24"/>
          <w:szCs w:val="24"/>
        </w:rPr>
        <w:t>licit</w:t>
      </w:r>
      <w:r w:rsidR="00671BA0" w:rsidRPr="00F50F7E">
        <w:rPr>
          <w:rFonts w:ascii="Times New Roman" w:hAnsi="Times New Roman" w:cs="Times New Roman"/>
          <w:sz w:val="24"/>
          <w:szCs w:val="24"/>
        </w:rPr>
        <w:t xml:space="preserve"> </w:t>
      </w:r>
      <w:r w:rsidR="00E24BC4" w:rsidRPr="00F50F7E">
        <w:rPr>
          <w:rFonts w:ascii="Times New Roman" w:hAnsi="Times New Roman" w:cs="Times New Roman"/>
          <w:sz w:val="24"/>
          <w:szCs w:val="24"/>
        </w:rPr>
        <w:t xml:space="preserve">and </w:t>
      </w:r>
      <w:r w:rsidR="00B3076D">
        <w:rPr>
          <w:rFonts w:ascii="Times New Roman" w:hAnsi="Times New Roman" w:cs="Times New Roman"/>
          <w:sz w:val="24"/>
          <w:szCs w:val="24"/>
        </w:rPr>
        <w:t xml:space="preserve">illicit </w:t>
      </w:r>
      <w:r w:rsidR="00E24BC4" w:rsidRPr="00F50F7E">
        <w:rPr>
          <w:rFonts w:ascii="Times New Roman" w:hAnsi="Times New Roman" w:cs="Times New Roman"/>
          <w:sz w:val="24"/>
          <w:szCs w:val="24"/>
        </w:rPr>
        <w:t xml:space="preserve">opioid use have impacted the United States </w:t>
      </w:r>
      <w:r w:rsidR="006358A7">
        <w:rPr>
          <w:rFonts w:ascii="Times New Roman" w:hAnsi="Times New Roman" w:cs="Times New Roman"/>
          <w:sz w:val="24"/>
          <w:szCs w:val="24"/>
        </w:rPr>
        <w:t xml:space="preserve">(US) </w:t>
      </w:r>
      <w:r w:rsidR="00E24BC4" w:rsidRPr="00F50F7E">
        <w:rPr>
          <w:rFonts w:ascii="Times New Roman" w:hAnsi="Times New Roman" w:cs="Times New Roman"/>
          <w:sz w:val="24"/>
          <w:szCs w:val="24"/>
        </w:rPr>
        <w:t>in recent decades</w:t>
      </w:r>
      <w:r w:rsidR="00681087">
        <w:rPr>
          <w:rFonts w:ascii="Times New Roman" w:hAnsi="Times New Roman" w:cs="Times New Roman"/>
          <w:sz w:val="24"/>
          <w:szCs w:val="24"/>
        </w:rPr>
        <w:fldChar w:fldCharType="begin"/>
      </w:r>
      <w:r w:rsidR="004838A0">
        <w:rPr>
          <w:rFonts w:ascii="Times New Roman" w:hAnsi="Times New Roman" w:cs="Times New Roman"/>
          <w:sz w:val="24"/>
          <w:szCs w:val="24"/>
        </w:rPr>
        <w:instrText xml:space="preserve"> ADDIN EN.CITE &lt;EndNote&gt;&lt;Cite&gt;&lt;Author&gt;Centers for Disease Control &amp;amp; Prevention&lt;/Author&gt;&lt;Year&gt;2019&lt;/Year&gt;&lt;RecNum&gt;592&lt;/RecNum&gt;&lt;DisplayText&gt;[1]&lt;/DisplayText&gt;&lt;record&gt;&lt;rec-number&gt;592&lt;/rec-number&gt;&lt;foreign-keys&gt;&lt;key app="EN" db-id="9z2t9av26xzf2yew5tv5wsvd55zdwzx0t5rr" timestamp="1638982651"&gt;592&lt;/key&gt;&lt;/foreign-keys&gt;&lt;ref-type name="Web Page"&gt;12&lt;/ref-type&gt;&lt;contributors&gt;&lt;authors&gt;&lt;author&gt;Centers for Disease Control &amp;amp; Prevention,&lt;/author&gt;&lt;/authors&gt;&lt;/contributors&gt;&lt;titles&gt;&lt;title&gt;Understanding the epidemic&lt;/title&gt;&lt;/titles&gt;&lt;number&gt;April 1 2019&lt;/number&gt;&lt;dates&gt;&lt;year&gt;2019&lt;/year&gt;&lt;/dates&gt;&lt;urls&gt;&lt;related-urls&gt;&lt;url&gt;https://www.cdc.gov/drugoverdose/epidemic/index.html&lt;/url&gt;&lt;/related-urls&gt;&lt;/urls&gt;&lt;/record&gt;&lt;/Cite&gt;&lt;/EndNote&gt;</w:instrText>
      </w:r>
      <w:r w:rsidR="00681087">
        <w:rPr>
          <w:rFonts w:ascii="Times New Roman" w:hAnsi="Times New Roman" w:cs="Times New Roman"/>
          <w:sz w:val="24"/>
          <w:szCs w:val="24"/>
        </w:rPr>
        <w:fldChar w:fldCharType="separate"/>
      </w:r>
      <w:r w:rsidR="004838A0">
        <w:rPr>
          <w:rFonts w:ascii="Times New Roman" w:hAnsi="Times New Roman" w:cs="Times New Roman"/>
          <w:noProof/>
          <w:sz w:val="24"/>
          <w:szCs w:val="24"/>
        </w:rPr>
        <w:t>[</w:t>
      </w:r>
      <w:hyperlink w:anchor="_ENREF_1" w:tooltip="Centers for Disease Control &amp; Prevention, 2019 #592" w:history="1">
        <w:r w:rsidR="00C20B73">
          <w:t>1</w:t>
        </w:r>
      </w:hyperlink>
      <w:r w:rsidR="004838A0">
        <w:rPr>
          <w:rFonts w:ascii="Times New Roman" w:hAnsi="Times New Roman" w:cs="Times New Roman"/>
          <w:noProof/>
          <w:sz w:val="24"/>
          <w:szCs w:val="24"/>
        </w:rPr>
        <w:t>]</w:t>
      </w:r>
      <w:r w:rsidR="00681087">
        <w:rPr>
          <w:rFonts w:ascii="Times New Roman" w:hAnsi="Times New Roman" w:cs="Times New Roman"/>
          <w:sz w:val="24"/>
          <w:szCs w:val="24"/>
        </w:rPr>
        <w:fldChar w:fldCharType="end"/>
      </w:r>
      <w:r w:rsidR="004838A0">
        <w:rPr>
          <w:rFonts w:ascii="Times New Roman" w:hAnsi="Times New Roman" w:cs="Times New Roman"/>
          <w:sz w:val="24"/>
          <w:szCs w:val="24"/>
        </w:rPr>
        <w:t>.</w:t>
      </w:r>
      <w:r w:rsidR="00E24BC4" w:rsidRPr="00F50F7E">
        <w:rPr>
          <w:rFonts w:ascii="Times New Roman" w:hAnsi="Times New Roman" w:cs="Times New Roman"/>
          <w:sz w:val="24"/>
          <w:szCs w:val="24"/>
        </w:rPr>
        <w:t xml:space="preserve"> The first wave began in the 1990s when prescriptions for opioid analgesics rose sharply. A second wave began around 2010 when increasing deaths from heroin use reached epidemic levels. The third wave began in 2013 with a rise in overdose deaths attributed to synthetic opioids, particularly illicit fentanyl</w:t>
      </w:r>
      <w:r w:rsidR="00B3076D">
        <w:rPr>
          <w:rFonts w:ascii="Times New Roman" w:hAnsi="Times New Roman" w:cs="Times New Roman"/>
          <w:sz w:val="24"/>
          <w:szCs w:val="24"/>
        </w:rPr>
        <w:t xml:space="preserve"> and carfentanyl</w:t>
      </w:r>
      <w:r w:rsidR="00E24BC4" w:rsidRPr="00F50F7E">
        <w:rPr>
          <w:rFonts w:ascii="Times New Roman" w:hAnsi="Times New Roman" w:cs="Times New Roman"/>
          <w:sz w:val="24"/>
          <w:szCs w:val="24"/>
        </w:rPr>
        <w:t xml:space="preserve">. This </w:t>
      </w:r>
      <w:r w:rsidR="00B3076D">
        <w:rPr>
          <w:rFonts w:ascii="Times New Roman" w:hAnsi="Times New Roman" w:cs="Times New Roman"/>
          <w:sz w:val="24"/>
          <w:szCs w:val="24"/>
        </w:rPr>
        <w:t xml:space="preserve">third </w:t>
      </w:r>
      <w:r w:rsidR="00E24BC4" w:rsidRPr="00F50F7E">
        <w:rPr>
          <w:rFonts w:ascii="Times New Roman" w:hAnsi="Times New Roman" w:cs="Times New Roman"/>
          <w:sz w:val="24"/>
          <w:szCs w:val="24"/>
        </w:rPr>
        <w:t>wave continues</w:t>
      </w:r>
      <w:r w:rsidR="00B3076D">
        <w:rPr>
          <w:rFonts w:ascii="Times New Roman" w:hAnsi="Times New Roman" w:cs="Times New Roman"/>
          <w:sz w:val="24"/>
          <w:szCs w:val="24"/>
        </w:rPr>
        <w:t xml:space="preserve"> to </w:t>
      </w:r>
      <w:r>
        <w:rPr>
          <w:rFonts w:ascii="Times New Roman" w:hAnsi="Times New Roman" w:cs="Times New Roman"/>
          <w:sz w:val="24"/>
          <w:szCs w:val="24"/>
        </w:rPr>
        <w:t xml:space="preserve">grow and is now </w:t>
      </w:r>
      <w:r w:rsidR="00B3076D">
        <w:rPr>
          <w:rFonts w:ascii="Times New Roman" w:hAnsi="Times New Roman" w:cs="Times New Roman"/>
          <w:sz w:val="24"/>
          <w:szCs w:val="24"/>
        </w:rPr>
        <w:t>morph</w:t>
      </w:r>
      <w:r>
        <w:rPr>
          <w:rFonts w:ascii="Times New Roman" w:hAnsi="Times New Roman" w:cs="Times New Roman"/>
          <w:sz w:val="24"/>
          <w:szCs w:val="24"/>
        </w:rPr>
        <w:t>ing</w:t>
      </w:r>
      <w:r w:rsidR="00B3076D">
        <w:rPr>
          <w:rFonts w:ascii="Times New Roman" w:hAnsi="Times New Roman" w:cs="Times New Roman"/>
          <w:sz w:val="24"/>
          <w:szCs w:val="24"/>
        </w:rPr>
        <w:t xml:space="preserve"> into a so-called “fourth wave</w:t>
      </w:r>
      <w:r w:rsidR="00B966F3">
        <w:rPr>
          <w:rFonts w:ascii="Times New Roman" w:hAnsi="Times New Roman" w:cs="Times New Roman"/>
          <w:sz w:val="24"/>
          <w:szCs w:val="24"/>
        </w:rPr>
        <w:t>,</w:t>
      </w:r>
      <w:r w:rsidR="00B3076D">
        <w:rPr>
          <w:rFonts w:ascii="Times New Roman" w:hAnsi="Times New Roman" w:cs="Times New Roman"/>
          <w:sz w:val="24"/>
          <w:szCs w:val="24"/>
        </w:rPr>
        <w:t>”</w:t>
      </w:r>
      <w:r w:rsidR="00E24BC4" w:rsidRPr="00F50F7E">
        <w:rPr>
          <w:rFonts w:ascii="Times New Roman" w:hAnsi="Times New Roman" w:cs="Times New Roman"/>
          <w:sz w:val="24"/>
          <w:szCs w:val="24"/>
        </w:rPr>
        <w:t xml:space="preserve"> with </w:t>
      </w:r>
      <w:r w:rsidR="00BC6167">
        <w:rPr>
          <w:rFonts w:ascii="Times New Roman" w:hAnsi="Times New Roman" w:cs="Times New Roman"/>
          <w:sz w:val="24"/>
          <w:szCs w:val="24"/>
        </w:rPr>
        <w:t>synthetic opioids</w:t>
      </w:r>
      <w:r w:rsidR="00BC6167" w:rsidRPr="00F50F7E">
        <w:rPr>
          <w:rFonts w:ascii="Times New Roman" w:hAnsi="Times New Roman" w:cs="Times New Roman"/>
          <w:sz w:val="24"/>
          <w:szCs w:val="24"/>
        </w:rPr>
        <w:t xml:space="preserve"> </w:t>
      </w:r>
      <w:r w:rsidR="00E24BC4" w:rsidRPr="00F50F7E">
        <w:rPr>
          <w:rFonts w:ascii="Times New Roman" w:hAnsi="Times New Roman" w:cs="Times New Roman"/>
          <w:sz w:val="24"/>
          <w:szCs w:val="24"/>
        </w:rPr>
        <w:t xml:space="preserve">being mixed </w:t>
      </w:r>
      <w:r w:rsidR="00BC6167">
        <w:rPr>
          <w:rFonts w:ascii="Times New Roman" w:hAnsi="Times New Roman" w:cs="Times New Roman"/>
          <w:sz w:val="24"/>
          <w:szCs w:val="24"/>
        </w:rPr>
        <w:t xml:space="preserve">into </w:t>
      </w:r>
      <w:r w:rsidR="00E24BC4" w:rsidRPr="00F50F7E">
        <w:rPr>
          <w:rFonts w:ascii="Times New Roman" w:hAnsi="Times New Roman" w:cs="Times New Roman"/>
          <w:sz w:val="24"/>
          <w:szCs w:val="24"/>
        </w:rPr>
        <w:t>stimulants</w:t>
      </w:r>
      <w:r w:rsidR="00BC6167">
        <w:rPr>
          <w:rFonts w:ascii="Times New Roman" w:hAnsi="Times New Roman" w:cs="Times New Roman"/>
          <w:sz w:val="24"/>
          <w:szCs w:val="24"/>
        </w:rPr>
        <w:t xml:space="preserve"> </w:t>
      </w:r>
      <w:r w:rsidR="009F0E9F">
        <w:rPr>
          <w:rFonts w:ascii="Times New Roman" w:hAnsi="Times New Roman" w:cs="Times New Roman"/>
          <w:sz w:val="24"/>
          <w:szCs w:val="24"/>
        </w:rPr>
        <w:t xml:space="preserve">(such as methamphetamine and cocaine) </w:t>
      </w:r>
      <w:r w:rsidR="00BC6167">
        <w:rPr>
          <w:rFonts w:ascii="Times New Roman" w:hAnsi="Times New Roman" w:cs="Times New Roman"/>
          <w:sz w:val="24"/>
          <w:szCs w:val="24"/>
        </w:rPr>
        <w:t>and other</w:t>
      </w:r>
      <w:r w:rsidR="00F55610">
        <w:rPr>
          <w:rFonts w:ascii="Times New Roman" w:hAnsi="Times New Roman" w:cs="Times New Roman"/>
          <w:sz w:val="24"/>
          <w:szCs w:val="24"/>
        </w:rPr>
        <w:t xml:space="preserve"> </w:t>
      </w:r>
      <w:r w:rsidR="00BC6167" w:rsidRPr="00B966F3">
        <w:rPr>
          <w:rFonts w:ascii="Times New Roman" w:hAnsi="Times New Roman" w:cs="Times New Roman"/>
          <w:sz w:val="24"/>
          <w:szCs w:val="24"/>
        </w:rPr>
        <w:t xml:space="preserve">counterfeit </w:t>
      </w:r>
      <w:r w:rsidR="00E24BC4" w:rsidRPr="00B966F3">
        <w:rPr>
          <w:rFonts w:ascii="Times New Roman" w:hAnsi="Times New Roman" w:cs="Times New Roman"/>
          <w:sz w:val="24"/>
          <w:szCs w:val="24"/>
        </w:rPr>
        <w:t>pills</w:t>
      </w:r>
      <w:r w:rsidR="00F55610" w:rsidRPr="00B966F3">
        <w:rPr>
          <w:rFonts w:ascii="Times New Roman" w:hAnsi="Times New Roman" w:cs="Times New Roman"/>
          <w:sz w:val="24"/>
          <w:szCs w:val="24"/>
        </w:rPr>
        <w:t xml:space="preserve">, the use of which is accelerating at a rate higher than that of </w:t>
      </w:r>
      <w:r w:rsidR="00CF2E35" w:rsidRPr="00B966F3">
        <w:rPr>
          <w:rFonts w:ascii="Times New Roman" w:hAnsi="Times New Roman" w:cs="Times New Roman"/>
          <w:sz w:val="24"/>
          <w:szCs w:val="24"/>
        </w:rPr>
        <w:t xml:space="preserve">un-mixed </w:t>
      </w:r>
      <w:r w:rsidR="00F55610" w:rsidRPr="00B966F3">
        <w:rPr>
          <w:rFonts w:ascii="Times New Roman" w:hAnsi="Times New Roman" w:cs="Times New Roman"/>
          <w:sz w:val="24"/>
          <w:szCs w:val="24"/>
        </w:rPr>
        <w:t>opioids</w:t>
      </w:r>
      <w:r w:rsidR="00B966F3" w:rsidRPr="00B966F3">
        <w:rPr>
          <w:rFonts w:ascii="Times New Roman" w:hAnsi="Times New Roman" w:cs="Times New Roman"/>
          <w:sz w:val="24"/>
          <w:szCs w:val="24"/>
        </w:rPr>
        <w:fldChar w:fldCharType="begin"/>
      </w:r>
      <w:r w:rsidR="004838A0">
        <w:rPr>
          <w:rFonts w:ascii="Times New Roman" w:hAnsi="Times New Roman" w:cs="Times New Roman"/>
          <w:sz w:val="24"/>
          <w:szCs w:val="24"/>
        </w:rPr>
        <w:instrText xml:space="preserve"> ADDIN EN.CITE &lt;EndNote&gt;&lt;Cite&gt;&lt;Author&gt;Ciccarone&lt;/Author&gt;&lt;Year&gt;2021&lt;/Year&gt;&lt;RecNum&gt;678&lt;/RecNum&gt;&lt;DisplayText&gt;[2]&lt;/DisplayText&gt;&lt;record&gt;&lt;rec-number&gt;678&lt;/rec-number&gt;&lt;foreign-keys&gt;&lt;key app="EN" db-id="9z2t9av26xzf2yew5tv5wsvd55zdwzx0t5rr" timestamp="1646409739"&gt;678&lt;/key&gt;&lt;/foreign-keys&gt;&lt;ref-type name="Journal Article"&gt;17&lt;/ref-type&gt;&lt;contributors&gt;&lt;authors&gt;&lt;author&gt;Ciccarone, D.&lt;/author&gt;&lt;/authors&gt;&lt;/contributors&gt;&lt;auth-address&gt;Department of Family and Community Medicine, University of California, San Francisco, California, USA.&lt;/auth-address&gt;&lt;titles&gt;&lt;title&gt;The rise of illicit fentanyls, stimulants and the fourth wave of the opioid overdose crisis&lt;/title&gt;&lt;secondary-title&gt;Curr Opin Psychiatry&lt;/secondary-title&gt;&lt;/titles&gt;&lt;periodical&gt;&lt;full-title&gt;Curr Opin Psychiatry&lt;/full-title&gt;&lt;/periodical&gt;&lt;pages&gt;344-350&lt;/pages&gt;&lt;volume&gt;34&lt;/volume&gt;&lt;number&gt;4&lt;/number&gt;&lt;edition&gt;2021/05/10&lt;/edition&gt;&lt;keywords&gt;&lt;keyword&gt;Analgesics, Opioid/*poisoning&lt;/keyword&gt;&lt;keyword&gt;Central Nervous System Stimulants/*poisoning&lt;/keyword&gt;&lt;keyword&gt;Cocaine/poisoning&lt;/keyword&gt;&lt;keyword&gt;Cocaine-Related Disorders/*epidemiology&lt;/keyword&gt;&lt;keyword&gt;Comorbidity&lt;/keyword&gt;&lt;keyword&gt;Drug Overdose/epidemiology&lt;/keyword&gt;&lt;keyword&gt;Fentanyl/*poisoning&lt;/keyword&gt;&lt;keyword&gt;Humans&lt;/keyword&gt;&lt;keyword&gt;Illicit Drugs/poisoning&lt;/keyword&gt;&lt;keyword&gt;Methamphetamine/poisoning&lt;/keyword&gt;&lt;keyword&gt;Opiate Overdose/*epidemiology&lt;/keyword&gt;&lt;keyword&gt;Opioid Epidemic/*statistics &amp;amp; numerical data&lt;/keyword&gt;&lt;/keywords&gt;&lt;dates&gt;&lt;year&gt;2021&lt;/year&gt;&lt;pub-dates&gt;&lt;date&gt;Jul 1&lt;/date&gt;&lt;/pub-dates&gt;&lt;/dates&gt;&lt;isbn&gt;1473-6578 (Electronic)&amp;#xD;0951-7367 (Linking)&lt;/isbn&gt;&lt;accession-num&gt;33965972&lt;/accession-num&gt;&lt;urls&gt;&lt;related-urls&gt;&lt;url&gt;https://www.ncbi.nlm.nih.gov/pubmed/33965972&lt;/url&gt;&lt;/related-urls&gt;&lt;/urls&gt;&lt;custom2&gt;PMC8154745&lt;/custom2&gt;&lt;electronic-resource-num&gt;10.1097/YCO.0000000000000717&lt;/electronic-resource-num&gt;&lt;/record&gt;&lt;/Cite&gt;&lt;/EndNote&gt;</w:instrText>
      </w:r>
      <w:r w:rsidR="00B966F3" w:rsidRPr="00B966F3">
        <w:rPr>
          <w:rFonts w:ascii="Times New Roman" w:hAnsi="Times New Roman" w:cs="Times New Roman"/>
          <w:sz w:val="24"/>
          <w:szCs w:val="24"/>
        </w:rPr>
        <w:fldChar w:fldCharType="separate"/>
      </w:r>
      <w:r w:rsidR="004838A0">
        <w:rPr>
          <w:rFonts w:ascii="Times New Roman" w:hAnsi="Times New Roman" w:cs="Times New Roman"/>
          <w:noProof/>
          <w:sz w:val="24"/>
          <w:szCs w:val="24"/>
        </w:rPr>
        <w:t>[</w:t>
      </w:r>
      <w:hyperlink w:anchor="_ENREF_2" w:tooltip="Ciccarone, 2021 #678" w:history="1">
        <w:r w:rsidR="00C20B73">
          <w:t>2</w:t>
        </w:r>
      </w:hyperlink>
      <w:r w:rsidR="004838A0">
        <w:rPr>
          <w:rFonts w:ascii="Times New Roman" w:hAnsi="Times New Roman" w:cs="Times New Roman"/>
          <w:noProof/>
          <w:sz w:val="24"/>
          <w:szCs w:val="24"/>
        </w:rPr>
        <w:t>]</w:t>
      </w:r>
      <w:r w:rsidR="00B966F3" w:rsidRPr="00B966F3">
        <w:rPr>
          <w:rFonts w:ascii="Times New Roman" w:hAnsi="Times New Roman" w:cs="Times New Roman"/>
          <w:sz w:val="24"/>
          <w:szCs w:val="24"/>
        </w:rPr>
        <w:fldChar w:fldCharType="end"/>
      </w:r>
      <w:r w:rsidR="004838A0">
        <w:rPr>
          <w:rFonts w:ascii="Times New Roman" w:hAnsi="Times New Roman" w:cs="Times New Roman"/>
          <w:sz w:val="24"/>
          <w:szCs w:val="24"/>
        </w:rPr>
        <w:t>.</w:t>
      </w:r>
      <w:r w:rsidR="009F0E9F" w:rsidRPr="00B966F3">
        <w:rPr>
          <w:rFonts w:ascii="Times New Roman" w:hAnsi="Times New Roman" w:cs="Times New Roman"/>
          <w:sz w:val="24"/>
          <w:szCs w:val="24"/>
        </w:rPr>
        <w:t xml:space="preserve"> </w:t>
      </w:r>
      <w:r w:rsidR="007F30FE">
        <w:rPr>
          <w:rFonts w:ascii="Times New Roman" w:hAnsi="Times New Roman" w:cs="Times New Roman"/>
          <w:sz w:val="24"/>
          <w:szCs w:val="24"/>
        </w:rPr>
        <w:t xml:space="preserve">Deaths have continued to climb in recent years, and according to the latest reports </w:t>
      </w:r>
      <w:r w:rsidR="00B966F3" w:rsidRPr="00B966F3">
        <w:rPr>
          <w:rFonts w:ascii="Times New Roman" w:hAnsi="Times New Roman" w:cs="Times New Roman"/>
          <w:color w:val="000000" w:themeColor="text1"/>
          <w:sz w:val="24"/>
          <w:szCs w:val="24"/>
        </w:rPr>
        <w:t xml:space="preserve">74,754 </w:t>
      </w:r>
      <w:r w:rsidR="007F30FE">
        <w:rPr>
          <w:rFonts w:ascii="Times New Roman" w:hAnsi="Times New Roman" w:cs="Times New Roman"/>
          <w:color w:val="000000" w:themeColor="text1"/>
          <w:sz w:val="24"/>
          <w:szCs w:val="24"/>
        </w:rPr>
        <w:t xml:space="preserve">adults died due to </w:t>
      </w:r>
      <w:r w:rsidR="00B966F3" w:rsidRPr="00B966F3">
        <w:rPr>
          <w:rFonts w:ascii="Times New Roman" w:hAnsi="Times New Roman" w:cs="Times New Roman"/>
          <w:color w:val="000000" w:themeColor="text1"/>
          <w:sz w:val="24"/>
          <w:szCs w:val="24"/>
        </w:rPr>
        <w:t xml:space="preserve">opioid-related </w:t>
      </w:r>
      <w:r w:rsidR="007F30FE">
        <w:rPr>
          <w:rFonts w:ascii="Times New Roman" w:hAnsi="Times New Roman" w:cs="Times New Roman"/>
          <w:color w:val="000000" w:themeColor="text1"/>
          <w:sz w:val="24"/>
          <w:szCs w:val="24"/>
        </w:rPr>
        <w:t xml:space="preserve">overdoses </w:t>
      </w:r>
      <w:r w:rsidR="00B966F3" w:rsidRPr="00B966F3">
        <w:rPr>
          <w:rFonts w:ascii="Times New Roman" w:hAnsi="Times New Roman" w:cs="Times New Roman"/>
          <w:color w:val="000000" w:themeColor="text1"/>
          <w:sz w:val="24"/>
          <w:szCs w:val="24"/>
        </w:rPr>
        <w:t>in the 12 months ending September 2021, representing an average of 205 deaths daily</w:t>
      </w:r>
      <w:r w:rsidR="00671BA0">
        <w:rPr>
          <w:rFonts w:ascii="Times New Roman" w:hAnsi="Times New Roman" w:cs="Times New Roman"/>
          <w:color w:val="000000" w:themeColor="text1"/>
          <w:sz w:val="24"/>
          <w:szCs w:val="24"/>
        </w:rPr>
        <w:t xml:space="preserve"> (Figure 1)</w:t>
      </w:r>
      <w:r w:rsidR="004838A0">
        <w:rPr>
          <w:rFonts w:ascii="Times New Roman" w:hAnsi="Times New Roman" w:cs="Times New Roman"/>
          <w:color w:val="000000" w:themeColor="text1"/>
          <w:sz w:val="24"/>
          <w:szCs w:val="24"/>
        </w:rPr>
        <w:t>,</w:t>
      </w:r>
      <w:r w:rsidR="00B966F3" w:rsidRPr="00B966F3">
        <w:rPr>
          <w:rFonts w:ascii="Times New Roman" w:hAnsi="Times New Roman" w:cs="Times New Roman"/>
          <w:color w:val="000000" w:themeColor="text1"/>
          <w:sz w:val="24"/>
          <w:szCs w:val="24"/>
        </w:rPr>
        <w:fldChar w:fldCharType="begin"/>
      </w:r>
      <w:r w:rsidR="004838A0">
        <w:rPr>
          <w:rFonts w:ascii="Times New Roman" w:hAnsi="Times New Roman" w:cs="Times New Roman"/>
          <w:color w:val="000000" w:themeColor="text1"/>
          <w:sz w:val="24"/>
          <w:szCs w:val="24"/>
        </w:rPr>
        <w:instrText xml:space="preserve"> ADDIN EN.CITE &lt;EndNote&gt;&lt;Cite&gt;&lt;Author&gt;Centers for Disease Control &amp;amp; Prevention&lt;/Author&gt;&lt;RecNum&gt;575&lt;/RecNum&gt;&lt;DisplayText&gt;[3]&lt;/DisplayText&gt;&lt;record&gt;&lt;rec-number&gt;575&lt;/rec-number&gt;&lt;foreign-keys&gt;&lt;key app="EN" db-id="9z2t9av26xzf2yew5tv5wsvd55zdwzx0t5rr" timestamp="1638982651"&gt;575&lt;/key&gt;&lt;/foreign-keys&gt;&lt;ref-type name="Web Page"&gt;12&lt;/ref-type&gt;&lt;contributors&gt;&lt;authors&gt;&lt;author&gt;Centers for Disease Control &amp;amp; Prevention,&lt;/author&gt;&lt;/authors&gt;&lt;/contributors&gt;&lt;titles&gt;&lt;title&gt;Increse in fatal drug overdoses across the United States driven by synthetic opioids before and during the COVID-19 pandemic&lt;/title&gt;&lt;/titles&gt;&lt;number&gt;December 28, 2020&lt;/number&gt;&lt;dates&gt;&lt;/dates&gt;&lt;urls&gt;&lt;related-urls&gt;&lt;url&gt;https://emergency.cdc.gov/han/2020/han00438.asp?ACSTrackingID=USCDC_511-DM44961&amp;amp;ACSTrackingLabel=HAN%20438%20-%20General%20Public&amp;amp;deliveryName=USCDC_511-DM44961&lt;/url&gt;&lt;/related-urls&gt;&lt;/urls&gt;&lt;/record&gt;&lt;/Cite&gt;&lt;/EndNote&gt;</w:instrText>
      </w:r>
      <w:r w:rsidR="00B966F3" w:rsidRPr="00B966F3">
        <w:rPr>
          <w:rFonts w:ascii="Times New Roman" w:hAnsi="Times New Roman" w:cs="Times New Roman"/>
          <w:color w:val="000000" w:themeColor="text1"/>
          <w:sz w:val="24"/>
          <w:szCs w:val="24"/>
        </w:rPr>
        <w:fldChar w:fldCharType="separate"/>
      </w:r>
      <w:r w:rsidR="004838A0">
        <w:rPr>
          <w:rFonts w:ascii="Times New Roman" w:hAnsi="Times New Roman" w:cs="Times New Roman"/>
          <w:noProof/>
          <w:color w:val="000000" w:themeColor="text1"/>
          <w:sz w:val="24"/>
          <w:szCs w:val="24"/>
        </w:rPr>
        <w:t>[</w:t>
      </w:r>
      <w:hyperlink w:anchor="_ENREF_3" w:tooltip="Centers for Disease Control &amp; Prevention,  #575" w:history="1">
        <w:r w:rsidR="00C20B73">
          <w:t>3</w:t>
        </w:r>
      </w:hyperlink>
      <w:r w:rsidR="004838A0">
        <w:rPr>
          <w:rFonts w:ascii="Times New Roman" w:hAnsi="Times New Roman" w:cs="Times New Roman"/>
          <w:noProof/>
          <w:color w:val="000000" w:themeColor="text1"/>
          <w:sz w:val="24"/>
          <w:szCs w:val="24"/>
        </w:rPr>
        <w:t>]</w:t>
      </w:r>
      <w:r w:rsidR="00B966F3" w:rsidRPr="00B966F3">
        <w:rPr>
          <w:rFonts w:ascii="Times New Roman" w:hAnsi="Times New Roman" w:cs="Times New Roman"/>
          <w:color w:val="000000" w:themeColor="text1"/>
          <w:sz w:val="24"/>
          <w:szCs w:val="24"/>
        </w:rPr>
        <w:fldChar w:fldCharType="end"/>
      </w:r>
      <w:r w:rsidR="00B966F3" w:rsidRPr="00B966F3">
        <w:rPr>
          <w:rFonts w:ascii="Times New Roman" w:hAnsi="Times New Roman" w:cs="Times New Roman"/>
          <w:color w:val="000000" w:themeColor="text1"/>
          <w:sz w:val="24"/>
          <w:szCs w:val="24"/>
        </w:rPr>
        <w:t xml:space="preserve"> a 55% increase since September, 2019</w:t>
      </w:r>
      <w:r w:rsidR="00B966F3" w:rsidRPr="00B966F3">
        <w:rPr>
          <w:rFonts w:ascii="Times New Roman" w:hAnsi="Times New Roman" w:cs="Times New Roman"/>
          <w:color w:val="000000" w:themeColor="text1"/>
          <w:sz w:val="24"/>
          <w:szCs w:val="24"/>
        </w:rPr>
        <w:fldChar w:fldCharType="begin"/>
      </w:r>
      <w:r w:rsidR="004838A0">
        <w:rPr>
          <w:rFonts w:ascii="Times New Roman" w:hAnsi="Times New Roman" w:cs="Times New Roman"/>
          <w:color w:val="000000" w:themeColor="text1"/>
          <w:sz w:val="24"/>
          <w:szCs w:val="24"/>
        </w:rPr>
        <w:instrText xml:space="preserve"> ADDIN EN.CITE &lt;EndNote&gt;&lt;Cite&gt;&lt;Author&gt;Centers for Disease Control &amp;amp; Prevention&lt;/Author&gt;&lt;RecNum&gt;670&lt;/RecNum&gt;&lt;DisplayText&gt;[4]&lt;/DisplayText&gt;&lt;record&gt;&lt;rec-number&gt;670&lt;/rec-number&gt;&lt;foreign-keys&gt;&lt;key app="EN" db-id="9z2t9av26xzf2yew5tv5wsvd55zdwzx0t5rr" timestamp="1645731971"&gt;670&lt;/key&gt;&lt;/foreign-keys&gt;&lt;ref-type name="Web Page"&gt;12&lt;/ref-type&gt;&lt;contributors&gt;&lt;authors&gt;&lt;author&gt;Centers for Disease Control &amp;amp; Prevention,&lt;/author&gt;&lt;/authors&gt;&lt;/contributors&gt;&lt;titles&gt;&lt;title&gt;Vital Statistics Rapid Release: Provisional Drug Overdose Death Counts&lt;/title&gt;&lt;/titles&gt;&lt;number&gt;February 24, 2022&lt;/number&gt;&lt;dates&gt;&lt;/dates&gt;&lt;urls&gt;&lt;related-urls&gt;&lt;url&gt;https://www.cdc.gov/nchs/nvss/vsrr/drug-overdose-data.htm&lt;/url&gt;&lt;/related-urls&gt;&lt;/urls&gt;&lt;/record&gt;&lt;/Cite&gt;&lt;/EndNote&gt;</w:instrText>
      </w:r>
      <w:r w:rsidR="00B966F3" w:rsidRPr="00B966F3">
        <w:rPr>
          <w:rFonts w:ascii="Times New Roman" w:hAnsi="Times New Roman" w:cs="Times New Roman"/>
          <w:color w:val="000000" w:themeColor="text1"/>
          <w:sz w:val="24"/>
          <w:szCs w:val="24"/>
        </w:rPr>
        <w:fldChar w:fldCharType="separate"/>
      </w:r>
      <w:r w:rsidR="004838A0">
        <w:rPr>
          <w:rFonts w:ascii="Times New Roman" w:hAnsi="Times New Roman" w:cs="Times New Roman"/>
          <w:noProof/>
          <w:color w:val="000000" w:themeColor="text1"/>
          <w:sz w:val="24"/>
          <w:szCs w:val="24"/>
        </w:rPr>
        <w:t>[</w:t>
      </w:r>
      <w:hyperlink w:anchor="_ENREF_4" w:tooltip="Centers for Disease Control &amp; Prevention,  #670" w:history="1">
        <w:r w:rsidR="00C20B73">
          <w:t>4</w:t>
        </w:r>
      </w:hyperlink>
      <w:r w:rsidR="004838A0">
        <w:rPr>
          <w:rFonts w:ascii="Times New Roman" w:hAnsi="Times New Roman" w:cs="Times New Roman"/>
          <w:noProof/>
          <w:color w:val="000000" w:themeColor="text1"/>
          <w:sz w:val="24"/>
          <w:szCs w:val="24"/>
        </w:rPr>
        <w:t>]</w:t>
      </w:r>
      <w:r w:rsidR="00B966F3" w:rsidRPr="00B966F3">
        <w:rPr>
          <w:rFonts w:ascii="Times New Roman" w:hAnsi="Times New Roman" w:cs="Times New Roman"/>
          <w:color w:val="000000" w:themeColor="text1"/>
          <w:sz w:val="24"/>
          <w:szCs w:val="24"/>
        </w:rPr>
        <w:fldChar w:fldCharType="end"/>
      </w:r>
      <w:r w:rsidR="004838A0">
        <w:rPr>
          <w:rFonts w:ascii="Times New Roman" w:hAnsi="Times New Roman" w:cs="Times New Roman"/>
          <w:color w:val="000000" w:themeColor="text1"/>
          <w:sz w:val="24"/>
          <w:szCs w:val="24"/>
        </w:rPr>
        <w:t>.</w:t>
      </w:r>
      <w:r w:rsidR="00B966F3" w:rsidRPr="00B966F3">
        <w:rPr>
          <w:rFonts w:ascii="Times New Roman" w:hAnsi="Times New Roman" w:cs="Times New Roman"/>
          <w:color w:val="000000" w:themeColor="text1"/>
          <w:sz w:val="24"/>
          <w:szCs w:val="24"/>
        </w:rPr>
        <w:t xml:space="preserve"> Opioid-related overdoses now account for 75% of fatal overdoses for all substances, up from 70.6% in 2019</w:t>
      </w:r>
      <w:r w:rsidR="007F30FE">
        <w:rPr>
          <w:rFonts w:ascii="Times New Roman" w:hAnsi="Times New Roman" w:cs="Times New Roman"/>
          <w:color w:val="000000" w:themeColor="text1"/>
          <w:sz w:val="24"/>
          <w:szCs w:val="24"/>
        </w:rPr>
        <w:t>, with synthetic opioids accounting for 86.6% of opioid-related deaths</w:t>
      </w:r>
      <w:r w:rsidR="00B966F3" w:rsidRPr="00B966F3">
        <w:rPr>
          <w:rFonts w:ascii="Times New Roman" w:hAnsi="Times New Roman" w:cs="Times New Roman"/>
          <w:color w:val="000000" w:themeColor="text1"/>
          <w:sz w:val="24"/>
          <w:szCs w:val="24"/>
        </w:rPr>
        <w:fldChar w:fldCharType="begin"/>
      </w:r>
      <w:r w:rsidR="004838A0">
        <w:rPr>
          <w:rFonts w:ascii="Times New Roman" w:hAnsi="Times New Roman" w:cs="Times New Roman"/>
          <w:color w:val="000000" w:themeColor="text1"/>
          <w:sz w:val="24"/>
          <w:szCs w:val="24"/>
        </w:rPr>
        <w:instrText xml:space="preserve"> ADDIN EN.CITE &lt;EndNote&gt;&lt;Cite&gt;&lt;Author&gt;Centers for Disease Control &amp;amp; Prevention&lt;/Author&gt;&lt;RecNum&gt;670&lt;/RecNum&gt;&lt;DisplayText&gt;[4]&lt;/DisplayText&gt;&lt;record&gt;&lt;rec-number&gt;670&lt;/rec-number&gt;&lt;foreign-keys&gt;&lt;key app="EN" db-id="9z2t9av26xzf2yew5tv5wsvd55zdwzx0t5rr" timestamp="1645731971"&gt;670&lt;/key&gt;&lt;/foreign-keys&gt;&lt;ref-type name="Web Page"&gt;12&lt;/ref-type&gt;&lt;contributors&gt;&lt;authors&gt;&lt;author&gt;Centers for Disease Control &amp;amp; Prevention,&lt;/author&gt;&lt;/authors&gt;&lt;/contributors&gt;&lt;titles&gt;&lt;title&gt;Vital Statistics Rapid Release: Provisional Drug Overdose Death Counts&lt;/title&gt;&lt;/titles&gt;&lt;number&gt;February 24, 2022&lt;/number&gt;&lt;dates&gt;&lt;/dates&gt;&lt;urls&gt;&lt;related-urls&gt;&lt;url&gt;https://www.cdc.gov/nchs/nvss/vsrr/drug-overdose-data.htm&lt;/url&gt;&lt;/related-urls&gt;&lt;/urls&gt;&lt;/record&gt;&lt;/Cite&gt;&lt;/EndNote&gt;</w:instrText>
      </w:r>
      <w:r w:rsidR="00B966F3" w:rsidRPr="00B966F3">
        <w:rPr>
          <w:rFonts w:ascii="Times New Roman" w:hAnsi="Times New Roman" w:cs="Times New Roman"/>
          <w:color w:val="000000" w:themeColor="text1"/>
          <w:sz w:val="24"/>
          <w:szCs w:val="24"/>
        </w:rPr>
        <w:fldChar w:fldCharType="separate"/>
      </w:r>
      <w:r w:rsidR="004838A0">
        <w:rPr>
          <w:rFonts w:ascii="Times New Roman" w:hAnsi="Times New Roman" w:cs="Times New Roman"/>
          <w:noProof/>
          <w:color w:val="000000" w:themeColor="text1"/>
          <w:sz w:val="24"/>
          <w:szCs w:val="24"/>
        </w:rPr>
        <w:t>[</w:t>
      </w:r>
      <w:hyperlink w:anchor="_ENREF_4" w:tooltip="Centers for Disease Control &amp; Prevention,  #670" w:history="1">
        <w:r w:rsidR="00C20B73">
          <w:t>4</w:t>
        </w:r>
      </w:hyperlink>
      <w:r w:rsidR="004838A0">
        <w:rPr>
          <w:rFonts w:ascii="Times New Roman" w:hAnsi="Times New Roman" w:cs="Times New Roman"/>
          <w:noProof/>
          <w:color w:val="000000" w:themeColor="text1"/>
          <w:sz w:val="24"/>
          <w:szCs w:val="24"/>
        </w:rPr>
        <w:t>]</w:t>
      </w:r>
      <w:r w:rsidR="00B966F3" w:rsidRPr="00B966F3">
        <w:rPr>
          <w:rFonts w:ascii="Times New Roman" w:hAnsi="Times New Roman" w:cs="Times New Roman"/>
          <w:color w:val="000000" w:themeColor="text1"/>
          <w:sz w:val="24"/>
          <w:szCs w:val="24"/>
        </w:rPr>
        <w:fldChar w:fldCharType="end"/>
      </w:r>
      <w:r w:rsidR="004838A0">
        <w:rPr>
          <w:rFonts w:ascii="Times New Roman" w:hAnsi="Times New Roman" w:cs="Times New Roman"/>
          <w:color w:val="000000" w:themeColor="text1"/>
          <w:sz w:val="24"/>
          <w:szCs w:val="24"/>
        </w:rPr>
        <w:t>.</w:t>
      </w:r>
    </w:p>
    <w:p w14:paraId="5B2815EE" w14:textId="2B489149" w:rsidR="00730DB4" w:rsidRDefault="00307DF5" w:rsidP="007C7D94">
      <w:pPr>
        <w:spacing w:line="480" w:lineRule="auto"/>
        <w:ind w:firstLine="720"/>
      </w:pPr>
      <w:r>
        <w:t>[Insert Figure 1]</w:t>
      </w:r>
    </w:p>
    <w:p w14:paraId="7ECBFE17" w14:textId="6A4DC1DD" w:rsidR="007C7D94" w:rsidRDefault="001D2476" w:rsidP="007C7D94">
      <w:pPr>
        <w:spacing w:line="480" w:lineRule="auto"/>
        <w:ind w:firstLine="720"/>
      </w:pPr>
      <w:r>
        <w:t xml:space="preserve">Fatal </w:t>
      </w:r>
      <w:r w:rsidR="00B87796">
        <w:t>overdoses</w:t>
      </w:r>
      <w:r w:rsidR="00F77BAE">
        <w:t>, however,</w:t>
      </w:r>
      <w:r w:rsidR="00B87796">
        <w:t xml:space="preserve"> represent </w:t>
      </w:r>
      <w:r w:rsidR="000F2672">
        <w:t xml:space="preserve">just </w:t>
      </w:r>
      <w:r w:rsidR="00E23AF0">
        <w:t>a small percentage</w:t>
      </w:r>
      <w:r w:rsidR="00B87796">
        <w:t xml:space="preserve"> of the total number of overdoses</w:t>
      </w:r>
      <w:r w:rsidR="00F77BAE">
        <w:t xml:space="preserve"> associated with use of </w:t>
      </w:r>
      <w:r w:rsidR="000B46F2">
        <w:t>o</w:t>
      </w:r>
      <w:r w:rsidR="00F77BAE">
        <w:t>pioids</w:t>
      </w:r>
      <w:r w:rsidR="0003119A">
        <w:fldChar w:fldCharType="begin"/>
      </w:r>
      <w:r w:rsidR="004838A0">
        <w:instrText xml:space="preserve"> ADDIN EN.CITE &lt;EndNote&gt;&lt;Cite&gt;&lt;Author&gt;Centers for Disease Control &amp;amp; Prevention&lt;/Author&gt;&lt;RecNum&gt;671&lt;/RecNum&gt;&lt;DisplayText&gt;[5]&lt;/DisplayText&gt;&lt;record&gt;&lt;rec-number&gt;671&lt;/rec-number&gt;&lt;foreign-keys&gt;&lt;key app="EN" db-id="9z2t9av26xzf2yew5tv5wsvd55zdwzx0t5rr" timestamp="1645732141"&gt;671&lt;/key&gt;&lt;/foreign-keys&gt;&lt;ref-type name="Web Page"&gt;12&lt;/ref-type&gt;&lt;contributors&gt;&lt;authors&gt;&lt;author&gt;Centers for Disease Control &amp;amp; Prevention,&lt;/author&gt;&lt;/authors&gt;&lt;/contributors&gt;&lt;titles&gt;&lt;title&gt;Nonfatal Drug Overdoses&lt;/title&gt;&lt;/titles&gt;&lt;number&gt;February 24, 2022&lt;/number&gt;&lt;dates&gt;&lt;/dates&gt;&lt;urls&gt;&lt;related-urls&gt;&lt;url&gt;https://www.cdc.gov/drugoverdose/nonfatal/index.html&lt;/url&gt;&lt;/related-urls&gt;&lt;/urls&gt;&lt;/record&gt;&lt;/Cite&gt;&lt;/EndNote&gt;</w:instrText>
      </w:r>
      <w:r w:rsidR="0003119A">
        <w:fldChar w:fldCharType="separate"/>
      </w:r>
      <w:r w:rsidR="004838A0">
        <w:rPr>
          <w:noProof/>
        </w:rPr>
        <w:t>[</w:t>
      </w:r>
      <w:hyperlink w:anchor="_ENREF_5" w:tooltip="Centers for Disease Control &amp; Prevention,  #671" w:history="1">
        <w:r w:rsidR="00C20B73">
          <w:t>5</w:t>
        </w:r>
      </w:hyperlink>
      <w:r w:rsidR="004838A0">
        <w:rPr>
          <w:noProof/>
        </w:rPr>
        <w:t>]</w:t>
      </w:r>
      <w:r w:rsidR="0003119A">
        <w:fldChar w:fldCharType="end"/>
      </w:r>
      <w:r w:rsidR="008924AD">
        <w:t xml:space="preserve"> and the total burden on society</w:t>
      </w:r>
      <w:r w:rsidR="00684F78">
        <w:t xml:space="preserve">. Those suffering from long-term </w:t>
      </w:r>
      <w:r w:rsidR="006358A7">
        <w:t>opioid use disorder (</w:t>
      </w:r>
      <w:r w:rsidR="00684F78">
        <w:t>OUD</w:t>
      </w:r>
      <w:r w:rsidR="006358A7">
        <w:t>)</w:t>
      </w:r>
      <w:r w:rsidR="008924AD">
        <w:t>,</w:t>
      </w:r>
      <w:r w:rsidR="00684F78">
        <w:t xml:space="preserve"> and those overdosing</w:t>
      </w:r>
      <w:r w:rsidR="008924AD">
        <w:t>,</w:t>
      </w:r>
      <w:r w:rsidR="00684F78">
        <w:t xml:space="preserve"> </w:t>
      </w:r>
      <w:r w:rsidR="000F2672">
        <w:t xml:space="preserve">are </w:t>
      </w:r>
      <w:r w:rsidR="003723FC">
        <w:t>increas</w:t>
      </w:r>
      <w:r w:rsidR="000B46F2">
        <w:t>ing</w:t>
      </w:r>
      <w:r w:rsidR="003723FC">
        <w:t xml:space="preserve"> avoidable </w:t>
      </w:r>
      <w:r w:rsidR="002421E0">
        <w:t xml:space="preserve">health care </w:t>
      </w:r>
      <w:r w:rsidR="0003119A">
        <w:t>spending</w:t>
      </w:r>
      <w:r w:rsidR="002421E0">
        <w:t>, particular</w:t>
      </w:r>
      <w:r w:rsidR="0003119A">
        <w:t>ly</w:t>
      </w:r>
      <w:r w:rsidR="002421E0">
        <w:t xml:space="preserve"> </w:t>
      </w:r>
      <w:r w:rsidR="00121425">
        <w:t xml:space="preserve">that </w:t>
      </w:r>
      <w:r w:rsidR="00090AF9">
        <w:t xml:space="preserve">related to </w:t>
      </w:r>
      <w:r w:rsidR="00501ED6">
        <w:t xml:space="preserve">emergency department </w:t>
      </w:r>
      <w:r w:rsidR="006358A7">
        <w:t xml:space="preserve">(ED) </w:t>
      </w:r>
      <w:r w:rsidR="00501ED6">
        <w:t>visits and inpatient stays</w:t>
      </w:r>
      <w:r w:rsidR="00C20B73">
        <w:fldChar w:fldCharType="begin"/>
      </w:r>
      <w:r w:rsidR="00C20B73">
        <w:instrText xml:space="preserve"> ADDIN EN.CITE &lt;EndNote&gt;&lt;Cite&gt;&lt;Author&gt;Assistant Secretary for Planning and Evaluation&lt;/Author&gt;&lt;RecNum&gt;672&lt;/RecNum&gt;&lt;DisplayText&gt;[6]&lt;/DisplayText&gt;&lt;record&gt;&lt;rec-number&gt;672&lt;/rec-number&gt;&lt;foreign-keys&gt;&lt;key app="EN" db-id="9z2t9av26xzf2yew5tv5wsvd55zdwzx0t5rr" timestamp="1645732433"&gt;672&lt;/key&gt;&lt;/foreign-keys&gt;&lt;ref-type name="Web Page"&gt;12&lt;/ref-type&gt;&lt;contributors&gt;&lt;authors&gt;&lt;author&gt;Assistant Secretary for Planning and Evaluation,, US Department of Health and Human Services&lt;/author&gt;&lt;/authors&gt;&lt;/contributors&gt;&lt;titles&gt;&lt;title&gt;Non-Fatal Opioid Overdose and Associated Health Outcomes: Final Summary Report September 2019&lt;/title&gt;&lt;/titles&gt;&lt;number&gt;February 24, 2022&lt;/number&gt;&lt;dates&gt;&lt;/dates&gt;&lt;urls&gt;&lt;related-urls&gt;&lt;url&gt;https://aspe.hhs.gov/reports/non-fatal-opioid-overdose-associated-health-outcomes-final-summary-report-0&lt;/url&gt;&lt;/related-urls&gt;&lt;/urls&gt;&lt;/record&gt;&lt;/Cite&gt;&lt;/EndNote&gt;</w:instrText>
      </w:r>
      <w:r w:rsidR="00C20B73">
        <w:fldChar w:fldCharType="separate"/>
      </w:r>
      <w:r w:rsidR="00C20B73">
        <w:rPr>
          <w:noProof/>
        </w:rPr>
        <w:t>[</w:t>
      </w:r>
      <w:hyperlink w:anchor="_ENREF_6" w:tooltip="Assistant Secretary for Planning and Evaluation,  #672" w:history="1">
        <w:r w:rsidR="00C20B73">
          <w:t>6</w:t>
        </w:r>
      </w:hyperlink>
      <w:r w:rsidR="00C20B73">
        <w:rPr>
          <w:noProof/>
        </w:rPr>
        <w:t>]</w:t>
      </w:r>
      <w:r w:rsidR="00C20B73">
        <w:fldChar w:fldCharType="end"/>
      </w:r>
      <w:r w:rsidR="00C20B73">
        <w:t>.</w:t>
      </w:r>
      <w:r w:rsidR="0018686E">
        <w:t xml:space="preserve"> </w:t>
      </w:r>
      <w:r w:rsidR="00A721FB">
        <w:t>S</w:t>
      </w:r>
      <w:r w:rsidR="004E55CF">
        <w:t>tudies have shown that a</w:t>
      </w:r>
      <w:r w:rsidR="0018686E">
        <w:t xml:space="preserve">pproximately eight out of ten </w:t>
      </w:r>
      <w:r w:rsidR="0018686E" w:rsidRPr="0018686E">
        <w:t xml:space="preserve">overdose victims report at least one post-overdose </w:t>
      </w:r>
      <w:r w:rsidR="00411446">
        <w:t>sequela</w:t>
      </w:r>
      <w:r w:rsidR="0018686E" w:rsidRPr="0018686E">
        <w:t xml:space="preserve"> including </w:t>
      </w:r>
      <w:r w:rsidR="00411446">
        <w:t>falls, burns, assault while unconscious, chest infections</w:t>
      </w:r>
      <w:r w:rsidR="0018686E" w:rsidRPr="0018686E">
        <w:t xml:space="preserve">, </w:t>
      </w:r>
      <w:r w:rsidR="004E55CF">
        <w:t>peripheral neuropathy</w:t>
      </w:r>
      <w:r w:rsidR="0018686E" w:rsidRPr="0018686E">
        <w:t xml:space="preserve">, rhabdomyolysis, pulmonary edema, </w:t>
      </w:r>
      <w:r w:rsidR="004E55CF">
        <w:t xml:space="preserve">temporary limb paralysis, </w:t>
      </w:r>
      <w:r w:rsidR="0018686E" w:rsidRPr="0018686E">
        <w:t xml:space="preserve">seizure, </w:t>
      </w:r>
      <w:r w:rsidR="006358A7">
        <w:t xml:space="preserve">and </w:t>
      </w:r>
      <w:r w:rsidR="0018686E" w:rsidRPr="0018686E">
        <w:t>cardiac arrhythmia</w:t>
      </w:r>
      <w:r w:rsidR="001A19E7">
        <w:fldChar w:fldCharType="begin"/>
      </w:r>
      <w:r w:rsidR="004838A0">
        <w:instrText xml:space="preserve"> ADDIN EN.CITE &lt;EndNote&gt;&lt;Cite&gt;&lt;Author&gt;Assistant Secretary for Planning and Evaluation&lt;/Author&gt;&lt;RecNum&gt;672&lt;/RecNum&gt;&lt;DisplayText&gt;[6]&lt;/DisplayText&gt;&lt;record&gt;&lt;rec-number&gt;672&lt;/rec-number&gt;&lt;foreign-keys&gt;&lt;key app="EN" db-id="9z2t9av26xzf2yew5tv5wsvd55zdwzx0t5rr" timestamp="1645732433"&gt;672&lt;/key&gt;&lt;/foreign-keys&gt;&lt;ref-type name="Web Page"&gt;12&lt;/ref-type&gt;&lt;contributors&gt;&lt;authors&gt;&lt;author&gt;Assistant Secretary for Planning and Evaluation,, US Department of Health and Human Services&lt;/author&gt;&lt;/authors&gt;&lt;/contributors&gt;&lt;titles&gt;&lt;title&gt;Non-Fatal Opioid Overdose and Associated Health Outcomes: Final Summary Report September 2019&lt;/title&gt;&lt;/titles&gt;&lt;number&gt;February 24, 2022&lt;/number&gt;&lt;dates&gt;&lt;/dates&gt;&lt;urls&gt;&lt;related-urls&gt;&lt;url&gt;https://aspe.hhs.gov/reports/non-fatal-opioid-overdose-associated-health-outcomes-final-summary-report-0&lt;/url&gt;&lt;/related-urls&gt;&lt;/urls&gt;&lt;/record&gt;&lt;/Cite&gt;&lt;/EndNote&gt;</w:instrText>
      </w:r>
      <w:r w:rsidR="001A19E7">
        <w:fldChar w:fldCharType="separate"/>
      </w:r>
      <w:r w:rsidR="004838A0">
        <w:rPr>
          <w:noProof/>
        </w:rPr>
        <w:t>[</w:t>
      </w:r>
      <w:hyperlink w:anchor="_ENREF_6" w:tooltip="Assistant Secretary for Planning and Evaluation,  #672" w:history="1">
        <w:r w:rsidR="00C20B73">
          <w:t>6</w:t>
        </w:r>
      </w:hyperlink>
      <w:r w:rsidR="004838A0">
        <w:rPr>
          <w:noProof/>
        </w:rPr>
        <w:t>]</w:t>
      </w:r>
      <w:r w:rsidR="001A19E7">
        <w:fldChar w:fldCharType="end"/>
      </w:r>
      <w:r w:rsidR="004838A0">
        <w:t>.</w:t>
      </w:r>
      <w:r w:rsidR="00090AF9">
        <w:t xml:space="preserve"> These </w:t>
      </w:r>
      <w:r w:rsidR="00870DE4">
        <w:t xml:space="preserve">sequela </w:t>
      </w:r>
      <w:r w:rsidR="00411446">
        <w:t>requir</w:t>
      </w:r>
      <w:r w:rsidR="00090AF9">
        <w:t>ed</w:t>
      </w:r>
      <w:r w:rsidR="00411446">
        <w:t xml:space="preserve"> hospital treatment </w:t>
      </w:r>
      <w:r w:rsidR="00090AF9">
        <w:t xml:space="preserve">in </w:t>
      </w:r>
      <w:r w:rsidR="00411446">
        <w:t xml:space="preserve">33% of patients and </w:t>
      </w:r>
      <w:r w:rsidR="004E55CF">
        <w:t>admission</w:t>
      </w:r>
      <w:r w:rsidR="00411446">
        <w:t xml:space="preserve"> </w:t>
      </w:r>
      <w:r w:rsidR="00090AF9">
        <w:t xml:space="preserve">in </w:t>
      </w:r>
      <w:r w:rsidR="00411446">
        <w:lastRenderedPageBreak/>
        <w:t>14%</w:t>
      </w:r>
      <w:r w:rsidR="0030601B">
        <w:fldChar w:fldCharType="begin"/>
      </w:r>
      <w:r w:rsidR="004838A0">
        <w:instrText xml:space="preserve"> ADDIN EN.CITE &lt;EndNote&gt;&lt;Cite&gt;&lt;Author&gt;Assistant Secretary for Planning and Evaluation&lt;/Author&gt;&lt;RecNum&gt;672&lt;/RecNum&gt;&lt;DisplayText&gt;[6]&lt;/DisplayText&gt;&lt;record&gt;&lt;rec-number&gt;672&lt;/rec-number&gt;&lt;foreign-keys&gt;&lt;key app="EN" db-id="9z2t9av26xzf2yew5tv5wsvd55zdwzx0t5rr" timestamp="1645732433"&gt;672&lt;/key&gt;&lt;/foreign-keys&gt;&lt;ref-type name="Web Page"&gt;12&lt;/ref-type&gt;&lt;contributors&gt;&lt;authors&gt;&lt;author&gt;Assistant Secretary for Planning and Evaluation,, US Department of Health and Human Services&lt;/author&gt;&lt;/authors&gt;&lt;/contributors&gt;&lt;titles&gt;&lt;title&gt;Non-Fatal Opioid Overdose and Associated Health Outcomes: Final Summary Report September 2019&lt;/title&gt;&lt;/titles&gt;&lt;number&gt;February 24, 2022&lt;/number&gt;&lt;dates&gt;&lt;/dates&gt;&lt;urls&gt;&lt;related-urls&gt;&lt;url&gt;https://aspe.hhs.gov/reports/non-fatal-opioid-overdose-associated-health-outcomes-final-summary-report-0&lt;/url&gt;&lt;/related-urls&gt;&lt;/urls&gt;&lt;/record&gt;&lt;/Cite&gt;&lt;/EndNote&gt;</w:instrText>
      </w:r>
      <w:r w:rsidR="0030601B">
        <w:fldChar w:fldCharType="separate"/>
      </w:r>
      <w:r w:rsidR="004838A0">
        <w:rPr>
          <w:noProof/>
        </w:rPr>
        <w:t>[</w:t>
      </w:r>
      <w:hyperlink w:anchor="_ENREF_6" w:tooltip="Assistant Secretary for Planning and Evaluation,  #672" w:history="1">
        <w:r w:rsidR="00C20B73">
          <w:t>6</w:t>
        </w:r>
      </w:hyperlink>
      <w:r w:rsidR="004838A0">
        <w:rPr>
          <w:noProof/>
        </w:rPr>
        <w:t>]</w:t>
      </w:r>
      <w:r w:rsidR="0030601B">
        <w:fldChar w:fldCharType="end"/>
      </w:r>
      <w:r w:rsidR="004838A0">
        <w:t>.</w:t>
      </w:r>
      <w:r w:rsidR="00E23AF0">
        <w:t xml:space="preserve">  </w:t>
      </w:r>
      <w:r w:rsidR="00A721FB">
        <w:t>Conversely</w:t>
      </w:r>
      <w:r w:rsidR="00090AF9">
        <w:t>,</w:t>
      </w:r>
      <w:r w:rsidR="001D46A4">
        <w:t xml:space="preserve"> </w:t>
      </w:r>
      <w:r w:rsidR="00A721FB">
        <w:t xml:space="preserve">recent </w:t>
      </w:r>
      <w:r w:rsidR="001D46A4">
        <w:t xml:space="preserve">studies </w:t>
      </w:r>
      <w:r w:rsidR="0074390C">
        <w:t xml:space="preserve">have shown </w:t>
      </w:r>
      <w:r w:rsidR="00870DE4">
        <w:t>reduced</w:t>
      </w:r>
      <w:r w:rsidR="001D46A4">
        <w:t xml:space="preserve"> rate</w:t>
      </w:r>
      <w:r w:rsidR="00870DE4">
        <w:t>s</w:t>
      </w:r>
      <w:r w:rsidR="001D46A4">
        <w:t xml:space="preserve"> of acu</w:t>
      </w:r>
      <w:r w:rsidR="00414C09">
        <w:t>t</w:t>
      </w:r>
      <w:r w:rsidR="001D46A4">
        <w:t xml:space="preserve">e care services when patients receive treatment, and that relationship </w:t>
      </w:r>
      <w:r w:rsidR="00414C09">
        <w:t>is stronger with increased intensity of treatment and with increased adherence to medications for opioid use disorder (MOUD)</w:t>
      </w:r>
      <w:r w:rsidR="00414C09" w:rsidRPr="00414C09">
        <w:t xml:space="preserve"> </w:t>
      </w:r>
      <w:r w:rsidR="00414C09" w:rsidRPr="00F50F7E">
        <w:t>(i.e., buprenorphine, methadone, or naltrexone)</w:t>
      </w:r>
      <w:r w:rsidR="0030601B">
        <w:fldChar w:fldCharType="begin">
          <w:fldData xml:space="preserve">PEVuZE5vdGU+PENpdGU+PEF1dGhvcj5SdWV0c2NoPC9BdXRob3I+PFllYXI+MjAxNzwvWWVhcj48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</w:fldData>
        </w:fldChar>
      </w:r>
      <w:r w:rsidR="004838A0">
        <w:instrText xml:space="preserve"> ADDIN EN.CITE </w:instrText>
      </w:r>
      <w:r w:rsidR="004838A0">
        <w:fldChar w:fldCharType="begin">
          <w:fldData xml:space="preserve">PEVuZE5vdGU+PENpdGU+PEF1dGhvcj5SdWV0c2NoPC9BdXRob3I+PFllYXI+MjAxNzwvWWVhcj48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</w:fldData>
        </w:fldChar>
      </w:r>
      <w:r w:rsidR="004838A0">
        <w:instrText xml:space="preserve"> ADDIN EN.CITE.DATA </w:instrText>
      </w:r>
      <w:r w:rsidR="004838A0">
        <w:fldChar w:fldCharType="end"/>
      </w:r>
      <w:r w:rsidR="0030601B">
        <w:fldChar w:fldCharType="separate"/>
      </w:r>
      <w:r w:rsidR="004838A0">
        <w:rPr>
          <w:noProof/>
        </w:rPr>
        <w:t>[</w:t>
      </w:r>
      <w:hyperlink w:anchor="_ENREF_7" w:tooltip="Ruetsch, 2017 #379" w:history="1">
        <w:r w:rsidR="00C20B73">
          <w:rPr>
            <w:noProof/>
          </w:rPr>
          <w:t>7-9</w:t>
        </w:r>
      </w:hyperlink>
      <w:r w:rsidR="004838A0">
        <w:rPr>
          <w:noProof/>
        </w:rPr>
        <w:t>]</w:t>
      </w:r>
      <w:r w:rsidR="0030601B">
        <w:fldChar w:fldCharType="end"/>
      </w:r>
      <w:r w:rsidR="004838A0">
        <w:t>.</w:t>
      </w:r>
      <w:r w:rsidR="00414C09">
        <w:t xml:space="preserve">  </w:t>
      </w:r>
    </w:p>
    <w:p w14:paraId="71DE72CE" w14:textId="310CF161" w:rsidR="00557F57" w:rsidRDefault="006358A7" w:rsidP="00290432">
      <w:pPr>
        <w:spacing w:line="480" w:lineRule="auto"/>
        <w:ind w:firstLine="720"/>
      </w:pPr>
      <w:r>
        <w:t>Medications</w:t>
      </w:r>
      <w:r w:rsidR="00E24BC4" w:rsidRPr="00F50F7E">
        <w:t xml:space="preserve"> </w:t>
      </w:r>
      <w:r w:rsidR="003A55B2">
        <w:t>and</w:t>
      </w:r>
      <w:r w:rsidR="00E24BC4" w:rsidRPr="00F50F7E">
        <w:t xml:space="preserve"> behavioral </w:t>
      </w:r>
      <w:r w:rsidR="00201AC2">
        <w:t xml:space="preserve">therapies </w:t>
      </w:r>
      <w:r w:rsidR="00F33548">
        <w:t xml:space="preserve">are </w:t>
      </w:r>
      <w:r w:rsidR="00B3076D">
        <w:t xml:space="preserve">the gold standard </w:t>
      </w:r>
      <w:r w:rsidR="007C7D94">
        <w:t>treatment</w:t>
      </w:r>
      <w:r w:rsidR="00F33548">
        <w:t>s</w:t>
      </w:r>
      <w:r w:rsidR="007C7D94">
        <w:t xml:space="preserve"> </w:t>
      </w:r>
      <w:r w:rsidR="00E24BC4" w:rsidRPr="00F50F7E">
        <w:t>for OUD</w:t>
      </w:r>
      <w:r w:rsidR="00681087">
        <w:fldChar w:fldCharType="begin"/>
      </w:r>
      <w:r w:rsidR="004838A0">
        <w:instrText xml:space="preserve"> ADDIN EN.CITE &lt;EndNote&gt;&lt;Cite&gt;&lt;Author&gt;American Society of Addiction Medicine&lt;/Author&gt;&lt;RecNum&gt;14&lt;/RecNum&gt;&lt;DisplayText&gt;[10]&lt;/DisplayText&gt;&lt;record&gt;&lt;rec-number&gt;14&lt;/rec-number&gt;&lt;foreign-keys&gt;&lt;key app="EN" db-id="9z2t9av26xzf2yew5tv5wsvd55zdwzx0t5rr" timestamp="1592323637"&gt;14&lt;/key&gt;&lt;/foreign-keys&gt;&lt;ref-type name="Report"&gt;27&lt;/ref-type&gt;&lt;contributors&gt;&lt;authors&gt;&lt;author&gt;American Society of Addiction Medicine,&lt;/author&gt;&lt;/authors&gt;&lt;/contributors&gt;&lt;titles&gt;&lt;title&gt;National Practice Guideline for the Treatment of Opioid Use Disorder, 2020 Focused Update&lt;/title&gt;&lt;short-title&gt;National Practice Guideline for the Use of Medications in the Treatment of Addiction Involving Opioid Use&lt;/short-title&gt;&lt;/titles&gt;&lt;dates&gt;&lt;/dates&gt;&lt;urls&gt;&lt;related-urls&gt;&lt;url&gt;https://www.asam.org&lt;/url&gt;&lt;/related-urls&gt;&lt;/urls&gt;&lt;/record&gt;&lt;/Cite&gt;&lt;/EndNote&gt;</w:instrText>
      </w:r>
      <w:r w:rsidR="00681087">
        <w:fldChar w:fldCharType="separate"/>
      </w:r>
      <w:r w:rsidR="004838A0">
        <w:rPr>
          <w:noProof/>
        </w:rPr>
        <w:t>[</w:t>
      </w:r>
      <w:hyperlink w:anchor="_ENREF_10" w:tooltip="American Society of Addiction Medicine,  #14" w:history="1">
        <w:r w:rsidR="00C20B73">
          <w:rPr>
            <w:noProof/>
          </w:rPr>
          <w:t>10</w:t>
        </w:r>
      </w:hyperlink>
      <w:r w:rsidR="004838A0">
        <w:rPr>
          <w:noProof/>
        </w:rPr>
        <w:t>]</w:t>
      </w:r>
      <w:r w:rsidR="00681087">
        <w:fldChar w:fldCharType="end"/>
      </w:r>
      <w:r w:rsidR="004838A0">
        <w:t>.</w:t>
      </w:r>
      <w:r w:rsidR="00870DE4">
        <w:t xml:space="preserve"> </w:t>
      </w:r>
      <w:r>
        <w:t xml:space="preserve">Medications for </w:t>
      </w:r>
      <w:r w:rsidR="00B3076D">
        <w:t>OUD work by reducing cravings for opioids</w:t>
      </w:r>
      <w:r w:rsidR="00C02D19">
        <w:t xml:space="preserve">, thereby </w:t>
      </w:r>
      <w:r w:rsidR="005D0506">
        <w:t xml:space="preserve">reducing </w:t>
      </w:r>
      <w:r w:rsidR="0074390C">
        <w:t>opioid use and its associated health risks</w:t>
      </w:r>
      <w:r w:rsidR="0030601B">
        <w:fldChar w:fldCharType="begin"/>
      </w:r>
      <w:r w:rsidR="004838A0">
        <w:instrText xml:space="preserve"> ADDIN EN.CITE &lt;EndNote&gt;&lt;Cite&gt;&lt;Author&gt;Substance Abuse and Mental Health Services Administration&lt;/Author&gt;&lt;RecNum&gt;8&lt;/RecNum&gt;&lt;DisplayText&gt;[11]&lt;/DisplayText&gt;&lt;record&gt;&lt;rec-number&gt;8&lt;/rec-number&gt;&lt;foreign-keys&gt;&lt;key app="EN" db-id="9z2t9av26xzf2yew5tv5wsvd55zdwzx0t5rr" timestamp="1592323636"&gt;8&lt;/key&gt;&lt;/foreign-keys&gt;&lt;ref-type name="Web Page"&gt;12&lt;/ref-type&gt;&lt;contributors&gt;&lt;authors&gt;&lt;author&gt;Substance Abuse and Mental Health Services Administration,&lt;/author&gt;&lt;/authors&gt;&lt;/contributors&gt;&lt;titles&gt;&lt;title&gt;TIP 63: Medications for Opioid Use Disorder (Updated 2021)&lt;/title&gt;&lt;/titles&gt;&lt;number&gt;February 24, 2022&lt;/number&gt;&lt;dates&gt;&lt;/dates&gt;&lt;urls&gt;&lt;related-urls&gt;&lt;url&gt;https://store.samhsa.gov/sites/default/files/SAMHSA_Digital_Download/PEP21-02-01-002.pdf&lt;/url&gt;&lt;/related-urls&gt;&lt;/urls&gt;&lt;/record&gt;&lt;/Cite&gt;&lt;/EndNote&gt;</w:instrText>
      </w:r>
      <w:r w:rsidR="0030601B">
        <w:fldChar w:fldCharType="separate"/>
      </w:r>
      <w:r w:rsidR="004838A0">
        <w:rPr>
          <w:noProof/>
        </w:rPr>
        <w:t>[</w:t>
      </w:r>
      <w:hyperlink w:anchor="_ENREF_11" w:tooltip="Substance Abuse and Mental Health Services Administration,  #8" w:history="1">
        <w:r w:rsidR="00C20B73">
          <w:rPr>
            <w:noProof/>
          </w:rPr>
          <w:t>11</w:t>
        </w:r>
      </w:hyperlink>
      <w:r w:rsidR="004838A0">
        <w:rPr>
          <w:noProof/>
        </w:rPr>
        <w:t>]</w:t>
      </w:r>
      <w:r w:rsidR="0030601B">
        <w:fldChar w:fldCharType="end"/>
      </w:r>
      <w:r w:rsidR="004838A0">
        <w:t>,</w:t>
      </w:r>
      <w:r w:rsidR="002C698B">
        <w:t xml:space="preserve"> while b</w:t>
      </w:r>
      <w:r w:rsidR="007C7D94">
        <w:t xml:space="preserve">ehavioral therapies </w:t>
      </w:r>
      <w:r w:rsidR="00C02D19">
        <w:t>such as</w:t>
      </w:r>
      <w:r w:rsidR="007C7D94">
        <w:t xml:space="preserve"> cognitive behavioral therapy (CBT) </w:t>
      </w:r>
      <w:r w:rsidR="001E273F">
        <w:t xml:space="preserve">and contingency management (CM) </w:t>
      </w:r>
      <w:r w:rsidR="007C7D94">
        <w:t xml:space="preserve">work by helping </w:t>
      </w:r>
      <w:r w:rsidR="003A55B2">
        <w:t xml:space="preserve">patients </w:t>
      </w:r>
      <w:r w:rsidR="001B64FC">
        <w:t>adopt</w:t>
      </w:r>
      <w:r w:rsidR="005D0506">
        <w:t xml:space="preserve"> successful substance avoidance behaviors, achieve greater control over personal, social</w:t>
      </w:r>
      <w:r w:rsidR="00995380">
        <w:t>,</w:t>
      </w:r>
      <w:r w:rsidR="005D0506">
        <w:t xml:space="preserve"> and vocational aspects of their lives</w:t>
      </w:r>
      <w:r w:rsidR="0074390C">
        <w:t>, and increase retention in treatment</w:t>
      </w:r>
      <w:r w:rsidR="00995380">
        <w:fldChar w:fldCharType="begin">
          <w:fldData xml:space="preserve">PEVuZE5vdGU+PENpdGU+PEF1dGhvcj5DaHJpc3RlbnNlbjwvQXV0aG9yPjxZZWFyPjIwMTQ8L1ll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</w:fldData>
        </w:fldChar>
      </w:r>
      <w:r w:rsidR="004838A0">
        <w:instrText xml:space="preserve"> ADDIN EN.CITE </w:instrText>
      </w:r>
      <w:r w:rsidR="004838A0">
        <w:fldChar w:fldCharType="begin">
          <w:fldData xml:space="preserve">PEVuZE5vdGU+PENpdGU+PEF1dGhvcj5DaHJpc3RlbnNlbjwvQXV0aG9yPjxZZWFyPjIwMTQ8L1ll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</w:fldData>
        </w:fldChar>
      </w:r>
      <w:r w:rsidR="004838A0">
        <w:instrText xml:space="preserve"> ADDIN EN.CITE.DATA </w:instrText>
      </w:r>
      <w:r w:rsidR="004838A0">
        <w:fldChar w:fldCharType="end"/>
      </w:r>
      <w:r w:rsidR="00995380">
        <w:fldChar w:fldCharType="separate"/>
      </w:r>
      <w:r w:rsidR="004838A0">
        <w:rPr>
          <w:noProof/>
        </w:rPr>
        <w:t>[</w:t>
      </w:r>
      <w:hyperlink w:anchor="_ENREF_12" w:tooltip="Christensen, 2014 #45" w:history="1">
        <w:r w:rsidR="00C20B73">
          <w:rPr>
            <w:noProof/>
          </w:rPr>
          <w:t>12</w:t>
        </w:r>
      </w:hyperlink>
      <w:r w:rsidR="004838A0">
        <w:rPr>
          <w:noProof/>
        </w:rPr>
        <w:t>]</w:t>
      </w:r>
      <w:r w:rsidR="00995380">
        <w:fldChar w:fldCharType="end"/>
      </w:r>
      <w:r w:rsidR="004838A0">
        <w:t>.</w:t>
      </w:r>
      <w:r w:rsidR="00F33548">
        <w:t xml:space="preserve"> The use of both treatments has </w:t>
      </w:r>
      <w:r w:rsidR="00FD74C0">
        <w:t>been shown to reduce OUD-related costs</w:t>
      </w:r>
      <w:r w:rsidR="00995380">
        <w:fldChar w:fldCharType="begin">
          <w:fldData xml:space="preserve">PEVuZE5vdGU+PENpdGU+PEF1dGhvcj5SdWV0c2NoPC9BdXRob3I+PFllYXI+MjAxNzwvWWVhcj48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</w:fldData>
        </w:fldChar>
      </w:r>
      <w:r w:rsidR="004838A0">
        <w:instrText xml:space="preserve"> ADDIN EN.CITE </w:instrText>
      </w:r>
      <w:r w:rsidR="004838A0">
        <w:fldChar w:fldCharType="begin">
          <w:fldData xml:space="preserve">PEVuZE5vdGU+PENpdGU+PEF1dGhvcj5SdWV0c2NoPC9BdXRob3I+PFllYXI+MjAxNzwvWWVhcj48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</w:fldData>
        </w:fldChar>
      </w:r>
      <w:r w:rsidR="004838A0">
        <w:instrText xml:space="preserve"> ADDIN EN.CITE.DATA </w:instrText>
      </w:r>
      <w:r w:rsidR="004838A0">
        <w:fldChar w:fldCharType="end"/>
      </w:r>
      <w:r w:rsidR="00995380">
        <w:fldChar w:fldCharType="separate"/>
      </w:r>
      <w:r w:rsidR="004838A0">
        <w:rPr>
          <w:noProof/>
        </w:rPr>
        <w:t>[</w:t>
      </w:r>
      <w:hyperlink w:anchor="_ENREF_7" w:tooltip="Ruetsch, 2017 #379" w:history="1">
        <w:r w:rsidR="00C20B73">
          <w:t>7</w:t>
        </w:r>
      </w:hyperlink>
      <w:r w:rsidR="004838A0">
        <w:rPr>
          <w:noProof/>
        </w:rPr>
        <w:t xml:space="preserve">, </w:t>
      </w:r>
      <w:hyperlink w:anchor="_ENREF_8" w:tooltip="Lynch, 2014 #380" w:history="1">
        <w:r w:rsidR="00C20B73">
          <w:t>8</w:t>
        </w:r>
      </w:hyperlink>
      <w:r w:rsidR="004838A0">
        <w:rPr>
          <w:noProof/>
        </w:rPr>
        <w:t xml:space="preserve">, </w:t>
      </w:r>
      <w:hyperlink w:anchor="_ENREF_13" w:tooltip="Velez, 2021 #389" w:history="1">
        <w:r w:rsidR="00C20B73">
          <w:rPr>
            <w:noProof/>
          </w:rPr>
          <w:t>13</w:t>
        </w:r>
      </w:hyperlink>
      <w:r w:rsidR="004838A0">
        <w:rPr>
          <w:noProof/>
        </w:rPr>
        <w:t>]</w:t>
      </w:r>
      <w:r w:rsidR="00995380">
        <w:fldChar w:fldCharType="end"/>
      </w:r>
      <w:r w:rsidR="004838A0">
        <w:t>.</w:t>
      </w:r>
      <w:r w:rsidR="00E24BC4" w:rsidRPr="00F50F7E">
        <w:t xml:space="preserve"> </w:t>
      </w:r>
      <w:r w:rsidR="00063819" w:rsidRPr="6298C6AE">
        <w:rPr>
          <w:noProof/>
        </w:rPr>
        <w:t xml:space="preserve">A </w:t>
      </w:r>
      <w:r w:rsidR="007C4F31">
        <w:rPr>
          <w:noProof/>
        </w:rPr>
        <w:t xml:space="preserve">2016 </w:t>
      </w:r>
      <w:r w:rsidR="00063819" w:rsidRPr="6298C6AE">
        <w:rPr>
          <w:noProof/>
        </w:rPr>
        <w:t xml:space="preserve">study by </w:t>
      </w:r>
      <w:r w:rsidR="007C4F31">
        <w:rPr>
          <w:noProof/>
        </w:rPr>
        <w:t xml:space="preserve">Moore et al. </w:t>
      </w:r>
      <w:r w:rsidR="00063819" w:rsidRPr="6298C6AE">
        <w:rPr>
          <w:noProof/>
        </w:rPr>
        <w:t>show</w:t>
      </w:r>
      <w:r w:rsidR="001B64FC">
        <w:rPr>
          <w:noProof/>
        </w:rPr>
        <w:t>ed</w:t>
      </w:r>
      <w:r w:rsidR="00063819" w:rsidRPr="6298C6AE">
        <w:rPr>
          <w:noProof/>
        </w:rPr>
        <w:t xml:space="preserve"> that </w:t>
      </w:r>
      <w:r w:rsidR="0046539C">
        <w:rPr>
          <w:noProof/>
        </w:rPr>
        <w:t>CBT</w:t>
      </w:r>
      <w:r w:rsidR="00063819" w:rsidRPr="6298C6AE">
        <w:rPr>
          <w:noProof/>
        </w:rPr>
        <w:t xml:space="preserve"> plus physician management with buprenoprhine treatment can improve treatment outcomes</w:t>
      </w:r>
      <w:r w:rsidR="00C02D19">
        <w:rPr>
          <w:noProof/>
        </w:rPr>
        <w:t>,</w:t>
      </w:r>
      <w:r w:rsidR="00063819" w:rsidRPr="6298C6AE">
        <w:rPr>
          <w:noProof/>
        </w:rPr>
        <w:t xml:space="preserve"> inc</w:t>
      </w:r>
      <w:r w:rsidR="00F33548">
        <w:rPr>
          <w:noProof/>
        </w:rPr>
        <w:t>l</w:t>
      </w:r>
      <w:r w:rsidR="00063819" w:rsidRPr="6298C6AE">
        <w:rPr>
          <w:noProof/>
        </w:rPr>
        <w:t xml:space="preserve">uding </w:t>
      </w:r>
      <w:r w:rsidR="00C02D19">
        <w:rPr>
          <w:noProof/>
        </w:rPr>
        <w:t xml:space="preserve">opioid </w:t>
      </w:r>
      <w:r w:rsidR="00063819" w:rsidRPr="6298C6AE">
        <w:rPr>
          <w:noProof/>
        </w:rPr>
        <w:t>abstinence</w:t>
      </w:r>
      <w:r w:rsidR="00C02D19">
        <w:rPr>
          <w:noProof/>
        </w:rPr>
        <w:t>,</w:t>
      </w:r>
      <w:r w:rsidR="00063819" w:rsidRPr="6298C6AE">
        <w:rPr>
          <w:noProof/>
        </w:rPr>
        <w:t xml:space="preserve"> compared to </w:t>
      </w:r>
      <w:r w:rsidR="001B64FC">
        <w:rPr>
          <w:noProof/>
        </w:rPr>
        <w:t>treatment</w:t>
      </w:r>
      <w:r w:rsidR="00063819" w:rsidRPr="6298C6AE">
        <w:rPr>
          <w:noProof/>
        </w:rPr>
        <w:t xml:space="preserve"> without CBT</w:t>
      </w:r>
      <w:r w:rsidR="00A721FB">
        <w:rPr>
          <w:noProof/>
        </w:rPr>
        <w:fldChar w:fldCharType="begin">
          <w:fldData xml:space="preserve">PEVuZE5vdGU+PENpdGU+PEF1dGhvcj5Nb29yZTwvQXV0aG9yPjxZZWFyPjIwMTY8L1llYXI+PFJl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</w:fldData>
        </w:fldChar>
      </w:r>
      <w:r w:rsidR="004838A0">
        <w:rPr>
          <w:noProof/>
        </w:rPr>
        <w:instrText xml:space="preserve"> ADDIN EN.CITE </w:instrText>
      </w:r>
      <w:r w:rsidR="004838A0">
        <w:rPr>
          <w:noProof/>
        </w:rPr>
        <w:fldChar w:fldCharType="begin">
          <w:fldData xml:space="preserve">PEVuZE5vdGU+PENpdGU+PEF1dGhvcj5Nb29yZTwvQXV0aG9yPjxZZWFyPjIwMTY8L1llYXI+PFJl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</w:fldData>
        </w:fldChar>
      </w:r>
      <w:r w:rsidR="004838A0">
        <w:rPr>
          <w:noProof/>
        </w:rPr>
        <w:instrText xml:space="preserve"> ADDIN EN.CITE.DATA </w:instrText>
      </w:r>
      <w:r w:rsidR="004838A0">
        <w:rPr>
          <w:noProof/>
        </w:rPr>
      </w:r>
      <w:r w:rsidR="004838A0">
        <w:rPr>
          <w:noProof/>
        </w:rPr>
        <w:fldChar w:fldCharType="end"/>
      </w:r>
      <w:r w:rsidR="00A721FB">
        <w:rPr>
          <w:noProof/>
        </w:rPr>
      </w:r>
      <w:r w:rsidR="00A721FB">
        <w:rPr>
          <w:noProof/>
        </w:rPr>
        <w:fldChar w:fldCharType="separate"/>
      </w:r>
      <w:r w:rsidR="004838A0">
        <w:rPr>
          <w:noProof/>
        </w:rPr>
        <w:t>[</w:t>
      </w:r>
      <w:hyperlink w:anchor="_ENREF_14" w:tooltip="Moore, 2016 #520" w:history="1">
        <w:r w:rsidR="00C20B73">
          <w:rPr>
            <w:noProof/>
          </w:rPr>
          <w:t>14</w:t>
        </w:r>
      </w:hyperlink>
      <w:r w:rsidR="004838A0">
        <w:rPr>
          <w:noProof/>
        </w:rPr>
        <w:t>]</w:t>
      </w:r>
      <w:r w:rsidR="00A721FB">
        <w:rPr>
          <w:noProof/>
        </w:rPr>
        <w:fldChar w:fldCharType="end"/>
      </w:r>
      <w:r w:rsidR="004838A0">
        <w:rPr>
          <w:noProof/>
        </w:rPr>
        <w:t>.</w:t>
      </w:r>
      <w:r w:rsidR="00063819" w:rsidRPr="6298C6AE">
        <w:rPr>
          <w:noProof/>
        </w:rPr>
        <w:t xml:space="preserve"> </w:t>
      </w:r>
      <w:r w:rsidR="00FD74C0">
        <w:t>R</w:t>
      </w:r>
      <w:r w:rsidR="00575EF6">
        <w:t xml:space="preserve">etention </w:t>
      </w:r>
      <w:r w:rsidR="00290432">
        <w:t xml:space="preserve">in </w:t>
      </w:r>
      <w:r w:rsidR="00AD4EF2">
        <w:t xml:space="preserve">treatment </w:t>
      </w:r>
      <w:r w:rsidR="00995380">
        <w:t xml:space="preserve">helps </w:t>
      </w:r>
      <w:r w:rsidR="00290432">
        <w:t xml:space="preserve">prevent </w:t>
      </w:r>
      <w:r w:rsidR="001B64FC">
        <w:t xml:space="preserve">a </w:t>
      </w:r>
      <w:r w:rsidR="00290432">
        <w:t>return to opioid use</w:t>
      </w:r>
      <w:r w:rsidR="00121425">
        <w:t xml:space="preserve"> (including exposure to more potent synthetic opioids)</w:t>
      </w:r>
      <w:r w:rsidR="00290432">
        <w:t xml:space="preserve"> and its increased risk of accidental overdose </w:t>
      </w:r>
      <w:r w:rsidR="00730DB4">
        <w:t xml:space="preserve">(fatal and non-fatal) </w:t>
      </w:r>
      <w:r w:rsidR="00290432">
        <w:t>due to loss of tolerance</w:t>
      </w:r>
      <w:r w:rsidR="00095914">
        <w:fldChar w:fldCharType="begin"/>
      </w:r>
      <w:r w:rsidR="004838A0">
        <w:instrText xml:space="preserve"> ADDIN EN.CITE &lt;EndNote&gt;&lt;Cite&gt;&lt;Author&gt;Substance Abuse and Mental Health Services Administration&lt;/Author&gt;&lt;RecNum&gt;8&lt;/RecNum&gt;&lt;DisplayText&gt;[11]&lt;/DisplayText&gt;&lt;record&gt;&lt;rec-number&gt;8&lt;/rec-number&gt;&lt;foreign-keys&gt;&lt;key app="EN" db-id="9z2t9av26xzf2yew5tv5wsvd55zdwzx0t5rr" timestamp="1592323636"&gt;8&lt;/key&gt;&lt;/foreign-keys&gt;&lt;ref-type name="Web Page"&gt;12&lt;/ref-type&gt;&lt;contributors&gt;&lt;authors&gt;&lt;author&gt;Substance Abuse and Mental Health Services Administration,&lt;/author&gt;&lt;/authors&gt;&lt;/contributors&gt;&lt;titles&gt;&lt;title&gt;TIP 63: Medications for Opioid Use Disorder (Updated 2021)&lt;/title&gt;&lt;/titles&gt;&lt;number&gt;February 24, 2022&lt;/number&gt;&lt;dates&gt;&lt;/dates&gt;&lt;urls&gt;&lt;related-urls&gt;&lt;url&gt;https://store.samhsa.gov/sites/default/files/SAMHSA_Digital_Download/PEP21-02-01-002.pdf&lt;/url&gt;&lt;/related-urls&gt;&lt;/urls&gt;&lt;/record&gt;&lt;/Cite&gt;&lt;/EndNote&gt;</w:instrText>
      </w:r>
      <w:r w:rsidR="00095914">
        <w:fldChar w:fldCharType="separate"/>
      </w:r>
      <w:r w:rsidR="004838A0">
        <w:rPr>
          <w:noProof/>
        </w:rPr>
        <w:t>[</w:t>
      </w:r>
      <w:hyperlink w:anchor="_ENREF_11" w:tooltip="Substance Abuse and Mental Health Services Administration,  #8" w:history="1">
        <w:r w:rsidR="00C20B73">
          <w:rPr>
            <w:noProof/>
          </w:rPr>
          <w:t>11</w:t>
        </w:r>
      </w:hyperlink>
      <w:r w:rsidR="004838A0">
        <w:rPr>
          <w:noProof/>
        </w:rPr>
        <w:t>]</w:t>
      </w:r>
      <w:r w:rsidR="00095914">
        <w:fldChar w:fldCharType="end"/>
      </w:r>
      <w:r w:rsidR="004838A0">
        <w:t>.</w:t>
      </w:r>
      <w:r w:rsidR="00290432">
        <w:t xml:space="preserve"> </w:t>
      </w:r>
      <w:r w:rsidR="00C02D19">
        <w:t>However, t</w:t>
      </w:r>
      <w:r w:rsidR="00290432">
        <w:t>he provision of supportive services to patients in recovery is hampered</w:t>
      </w:r>
      <w:r w:rsidR="00C02D19">
        <w:t xml:space="preserve"> </w:t>
      </w:r>
      <w:r w:rsidR="00290432">
        <w:t xml:space="preserve">by a shortage of </w:t>
      </w:r>
      <w:r w:rsidR="00E24BC4">
        <w:t xml:space="preserve">trained or certified providers, </w:t>
      </w:r>
      <w:r w:rsidR="00290432">
        <w:t xml:space="preserve">which led the </w:t>
      </w:r>
      <w:r w:rsidR="00E24BC4" w:rsidRPr="00F50F7E">
        <w:t xml:space="preserve">National Institute on Drug Abuse </w:t>
      </w:r>
      <w:r w:rsidR="00290432">
        <w:t xml:space="preserve">to </w:t>
      </w:r>
      <w:r w:rsidR="00E24BC4">
        <w:t xml:space="preserve">call </w:t>
      </w:r>
      <w:r w:rsidR="00E24BC4" w:rsidRPr="00F50F7E">
        <w:t xml:space="preserve">for </w:t>
      </w:r>
      <w:r w:rsidR="00E24BC4">
        <w:t xml:space="preserve">the </w:t>
      </w:r>
      <w:r w:rsidR="00E24BC4" w:rsidRPr="00F50F7E">
        <w:t xml:space="preserve">development of digital versions of </w:t>
      </w:r>
      <w:r w:rsidR="00E24BC4">
        <w:t xml:space="preserve">CBT </w:t>
      </w:r>
      <w:r w:rsidR="00E24BC4" w:rsidRPr="00F50F7E">
        <w:t>for addictive disorders</w:t>
      </w:r>
      <w:r w:rsidR="00681087" w:rsidRPr="00F50F7E">
        <w:fldChar w:fldCharType="begin"/>
      </w:r>
      <w:r w:rsidR="004838A0">
        <w:instrText xml:space="preserve"> ADDIN EN.CITE &lt;EndNote&gt;&lt;Cite&gt;&lt;Author&gt;National Institute on Drug Abuse&lt;/Author&gt;&lt;RecNum&gt;471&lt;/RecNum&gt;&lt;DisplayText&gt;[15]&lt;/DisplayText&gt;&lt;record&gt;&lt;rec-number&gt;471&lt;/rec-number&gt;&lt;foreign-keys&gt;&lt;key app="EN" db-id="9z2t9av26xzf2yew5tv5wsvd55zdwzx0t5rr" timestamp="1619280741"&gt;471&lt;/key&gt;&lt;/foreign-keys&gt;&lt;ref-type name="Web Page"&gt;12&lt;/ref-type&gt;&lt;contributors&gt;&lt;authors&gt;&lt;author&gt;National Institute on Drug Abuse,&lt;/author&gt;&lt;/authors&gt;&lt;/contributors&gt;&lt;titles&gt;&lt;title&gt;Principles of Drug Addiction Treatment: A research-based guide (Third edition): Drug Addiction Treatment in the United States&lt;/title&gt;&lt;/titles&gt;&lt;number&gt;April 24, 2021&lt;/number&gt;&lt;dates&gt;&lt;/dates&gt;&lt;urls&gt;&lt;related-urls&gt;&lt;url&gt;https://www.drugabuse.gov/publications/principles-drug-addiction-treatment-research-based-guide-third-edition/drug-addiction-treatment-in-united-states&lt;/url&gt;&lt;/related-urls&gt;&lt;/urls&gt;&lt;/record&gt;&lt;/Cite&gt;&lt;/EndNote&gt;</w:instrText>
      </w:r>
      <w:r w:rsidR="00681087" w:rsidRPr="00F50F7E">
        <w:fldChar w:fldCharType="separate"/>
      </w:r>
      <w:r w:rsidR="004838A0">
        <w:rPr>
          <w:noProof/>
        </w:rPr>
        <w:t>[</w:t>
      </w:r>
      <w:hyperlink w:anchor="_ENREF_15" w:tooltip="National Institute on Drug Abuse,  #471" w:history="1">
        <w:r w:rsidR="00C20B73">
          <w:rPr>
            <w:noProof/>
          </w:rPr>
          <w:t>15</w:t>
        </w:r>
      </w:hyperlink>
      <w:r w:rsidR="004838A0">
        <w:rPr>
          <w:noProof/>
        </w:rPr>
        <w:t>]</w:t>
      </w:r>
      <w:r w:rsidR="00681087" w:rsidRPr="00F50F7E">
        <w:fldChar w:fldCharType="end"/>
      </w:r>
      <w:r w:rsidR="004838A0">
        <w:t>.</w:t>
      </w:r>
      <w:r w:rsidR="00063819">
        <w:t xml:space="preserve"> </w:t>
      </w:r>
    </w:p>
    <w:p w14:paraId="1DA5B82B" w14:textId="532A46DF" w:rsidR="00E24BC4" w:rsidRPr="00F50F7E" w:rsidRDefault="00E24BC4" w:rsidP="00F620AF">
      <w:pPr>
        <w:spacing w:line="480" w:lineRule="auto"/>
        <w:ind w:firstLine="720"/>
        <w:rPr>
          <w:bCs/>
        </w:rPr>
      </w:pPr>
      <w:r w:rsidRPr="00F50F7E">
        <w:t>reSET-O</w:t>
      </w:r>
      <w:r w:rsidRPr="00F50F7E">
        <w:rPr>
          <w:vertAlign w:val="superscript"/>
        </w:rPr>
        <w:t>®</w:t>
      </w:r>
      <w:r w:rsidRPr="00F50F7E">
        <w:t xml:space="preserve"> was authorized by the </w:t>
      </w:r>
      <w:r w:rsidR="00C02D19">
        <w:t>US Food and Drug Administration</w:t>
      </w:r>
      <w:r w:rsidR="007116FE">
        <w:t xml:space="preserve"> (FDA)</w:t>
      </w:r>
      <w:r w:rsidRPr="00F50F7E">
        <w:t xml:space="preserve"> in 2018 for patients with OUD being treated with buprenorphine. It is an 84-day (12-week) prescription digital therapeutic (PDT)</w:t>
      </w:r>
      <w:r w:rsidR="00F33548">
        <w:t xml:space="preserve"> </w:t>
      </w:r>
      <w:r w:rsidR="00681087" w:rsidRPr="00F50F7E">
        <w:fldChar w:fldCharType="begin"/>
      </w:r>
      <w:r w:rsidR="004838A0">
        <w:instrText xml:space="preserve"> ADDIN EN.CITE &lt;EndNote&gt;&lt;Cite&gt;&lt;Author&gt;Pear Therapeutics Inc.&lt;/Author&gt;&lt;RecNum&gt;229&lt;/RecNum&gt;&lt;DisplayText&gt;[16]&lt;/DisplayText&gt;&lt;record&gt;&lt;rec-number&gt;229&lt;/rec-number&gt;&lt;foreign-keys&gt;&lt;key app="EN" db-id="9z2t9av26xzf2yew5tv5wsvd55zdwzx0t5rr" timestamp="1592835673"&gt;229&lt;/key&gt;&lt;/foreign-keys&gt;&lt;ref-type name="Journal Article"&gt;17&lt;/ref-type&gt;&lt;contributors&gt;&lt;authors&gt;&lt;author&gt;Pear Therapeutics Inc.,&lt;/author&gt;&lt;/authors&gt;&lt;/contributors&gt;&lt;titles&gt;&lt;title&gt;reSET-O [clinician directions for use].  2017&lt;/title&gt;&lt;/titles&gt;&lt;dates&gt;&lt;/dates&gt;&lt;publisher&gt;&amp;#xD;&lt;/publisher&gt;&lt;urls&gt;&lt;/urls&gt;&lt;/record&gt;&lt;/Cite&gt;&lt;/EndNote&gt;</w:instrText>
      </w:r>
      <w:r w:rsidR="00681087" w:rsidRPr="00F50F7E">
        <w:fldChar w:fldCharType="separate"/>
      </w:r>
      <w:r w:rsidR="004838A0">
        <w:rPr>
          <w:noProof/>
        </w:rPr>
        <w:t>[</w:t>
      </w:r>
      <w:hyperlink w:anchor="_ENREF_16" w:tooltip="Pear Therapeutics Inc.,  #229" w:history="1">
        <w:r w:rsidR="00C20B73">
          <w:rPr>
            <w:noProof/>
          </w:rPr>
          <w:t>16</w:t>
        </w:r>
      </w:hyperlink>
      <w:r w:rsidR="004838A0">
        <w:rPr>
          <w:noProof/>
        </w:rPr>
        <w:t>]</w:t>
      </w:r>
      <w:r w:rsidR="00681087" w:rsidRPr="00F50F7E">
        <w:fldChar w:fldCharType="end"/>
      </w:r>
      <w:r w:rsidRPr="00F50F7E">
        <w:t xml:space="preserve"> that delivers behavioral therapy based on the community reinforcement approach, an OUD-specific form of CBT.</w:t>
      </w:r>
      <w:r w:rsidR="00F620AF">
        <w:t xml:space="preserve"> </w:t>
      </w:r>
      <w:r w:rsidRPr="00F50F7E">
        <w:t>The clinical trials support</w:t>
      </w:r>
      <w:r w:rsidR="001B64FC">
        <w:t>ing</w:t>
      </w:r>
      <w:r w:rsidRPr="00F50F7E">
        <w:t xml:space="preserve"> FDA approval of reSET-O </w:t>
      </w:r>
      <w:r w:rsidR="00026814">
        <w:t xml:space="preserve">showed </w:t>
      </w:r>
      <w:r w:rsidRPr="00F50F7E">
        <w:t xml:space="preserve">significantly increased levels of treatment retention and abstinence among patients using </w:t>
      </w:r>
      <w:r w:rsidR="00C02D19">
        <w:t xml:space="preserve">reSET-O </w:t>
      </w:r>
      <w:r w:rsidRPr="00F50F7E">
        <w:t xml:space="preserve">compared to those receiving only </w:t>
      </w:r>
      <w:r w:rsidR="005610DA">
        <w:t>buprenorphine</w:t>
      </w:r>
      <w:r w:rsidR="00455401">
        <w:fldChar w:fldCharType="begin">
          <w:fldData xml:space="preserve">PEVuZE5vdGU+PENpdGU+PEF1dGhvcj5DYW1wYmVsbCBBTjwvQXV0aG9yPjxZZWFyPjIwMTQ8L1ll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</w:fldData>
        </w:fldChar>
      </w:r>
      <w:r w:rsidR="004838A0">
        <w:instrText xml:space="preserve"> ADDIN EN.CITE </w:instrText>
      </w:r>
      <w:r w:rsidR="004838A0">
        <w:fldChar w:fldCharType="begin">
          <w:fldData xml:space="preserve">PEVuZE5vdGU+PENpdGU+PEF1dGhvcj5DYW1wYmVsbCBBTjwvQXV0aG9yPjxZZWFyPjIwMTQ8L1ll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</w:fldData>
        </w:fldChar>
      </w:r>
      <w:r w:rsidR="004838A0">
        <w:instrText xml:space="preserve"> ADDIN EN.CITE.DATA </w:instrText>
      </w:r>
      <w:r w:rsidR="004838A0">
        <w:fldChar w:fldCharType="end"/>
      </w:r>
      <w:r w:rsidR="00455401">
        <w:fldChar w:fldCharType="separate"/>
      </w:r>
      <w:r w:rsidR="004838A0">
        <w:rPr>
          <w:noProof/>
        </w:rPr>
        <w:t>[</w:t>
      </w:r>
      <w:hyperlink w:anchor="_ENREF_12" w:tooltip="Christensen, 2014 #45" w:history="1">
        <w:r w:rsidR="00C20B73">
          <w:rPr>
            <w:noProof/>
          </w:rPr>
          <w:t>12</w:t>
        </w:r>
      </w:hyperlink>
      <w:r w:rsidR="004838A0">
        <w:rPr>
          <w:noProof/>
        </w:rPr>
        <w:t xml:space="preserve">, </w:t>
      </w:r>
      <w:hyperlink w:anchor="_ENREF_17" w:tooltip="Campbell AN, 2014 #29" w:history="1">
        <w:r w:rsidR="00C20B73">
          <w:rPr>
            <w:noProof/>
          </w:rPr>
          <w:t>17</w:t>
        </w:r>
      </w:hyperlink>
      <w:r w:rsidR="004838A0">
        <w:rPr>
          <w:noProof/>
        </w:rPr>
        <w:t xml:space="preserve">, </w:t>
      </w:r>
      <w:hyperlink w:anchor="_ENREF_18" w:tooltip="Maricich, 2021 #394" w:history="1">
        <w:r w:rsidR="00C20B73">
          <w:rPr>
            <w:noProof/>
          </w:rPr>
          <w:t>18</w:t>
        </w:r>
      </w:hyperlink>
      <w:r w:rsidR="004838A0">
        <w:rPr>
          <w:noProof/>
        </w:rPr>
        <w:t>]</w:t>
      </w:r>
      <w:r w:rsidR="00455401">
        <w:fldChar w:fldCharType="end"/>
      </w:r>
      <w:r w:rsidR="004838A0">
        <w:t>.</w:t>
      </w:r>
      <w:r w:rsidRPr="00F50F7E">
        <w:t xml:space="preserve"> </w:t>
      </w:r>
      <w:r w:rsidRPr="00F50F7E">
        <w:rPr>
          <w:bCs/>
        </w:rPr>
        <w:lastRenderedPageBreak/>
        <w:t>Previous analyses have also shown that p</w:t>
      </w:r>
      <w:r w:rsidRPr="00F50F7E">
        <w:t xml:space="preserve">atients prescribed reSET-O </w:t>
      </w:r>
      <w:r w:rsidR="009331A4">
        <w:t>engaged with treatment and had outcomes consistent with prior clinical trials</w:t>
      </w:r>
      <w:r w:rsidR="009331A4">
        <w:fldChar w:fldCharType="begin"/>
      </w:r>
      <w:r w:rsidR="004838A0">
        <w:instrText xml:space="preserve"> ADDIN EN.CITE &lt;EndNote&gt;&lt;Cite&gt;&lt;Author&gt;Maricich&lt;/Author&gt;&lt;Year&gt;2021&lt;/Year&gt;&lt;RecNum&gt;522&lt;/RecNum&gt;&lt;DisplayText&gt;[19]&lt;/DisplayText&gt;&lt;record&gt;&lt;rec-number&gt;522&lt;/rec-number&gt;&lt;foreign-keys&gt;&lt;key app="EN" db-id="9z2t9av26xzf2yew5tv5wsvd55zdwzx0t5rr" timestamp="1632259930"&gt;522&lt;/key&gt;&lt;/foreign-keys&gt;&lt;ref-type name="Journal Article"&gt;17&lt;/ref-type&gt;&lt;contributors&gt;&lt;authors&gt;&lt;author&gt;Maricich, Y. A.&lt;/author&gt;&lt;author&gt;Gerwien, R.&lt;/author&gt;&lt;author&gt;Kuo, A.&lt;/author&gt;&lt;author&gt;Malone, D. C.&lt;/author&gt;&lt;author&gt;Velez, F. F.&lt;/author&gt;&lt;/authors&gt;&lt;/contributors&gt;&lt;auth-address&gt;Pear Therapeutics, Inc, Boston, MA, USA.&amp;#xD;Strategic Therapeutics, LLC, Tucson, AZ, USA.&lt;/auth-address&gt;&lt;titles&gt;&lt;title&gt;Real-world use and clinical outcomes after 24 weeks of treatment with a prescription digital therapeutic for opioid use disorder&lt;/title&gt;&lt;secondary-title&gt;Hosp Pract&lt;/secondary-title&gt;&lt;/titles&gt;&lt;periodical&gt;&lt;full-title&gt;Hosp Pract&lt;/full-title&gt;&lt;/periodical&gt;&lt;pages&gt;1-8&lt;/pages&gt;&lt;edition&gt;2021/09/01&lt;/edition&gt;&lt;keywords&gt;&lt;keyword&gt;Digital therapeutic&lt;/keyword&gt;&lt;keyword&gt;Moud&lt;/keyword&gt;&lt;keyword&gt;Pdt&lt;/keyword&gt;&lt;keyword&gt;medications for opioid use disorder&lt;/keyword&gt;&lt;keyword&gt;reSET&lt;/keyword&gt;&lt;keyword&gt;reSET-O&lt;/keyword&gt;&lt;/keywords&gt;&lt;dates&gt;&lt;year&gt;2021&lt;/year&gt;&lt;pub-dates&gt;&lt;date&gt;Sep 3&lt;/date&gt;&lt;/pub-dates&gt;&lt;/dates&gt;&lt;accession-num&gt;34461801&lt;/accession-num&gt;&lt;urls&gt;&lt;/urls&gt;&lt;/record&gt;&lt;/Cite&gt;&lt;/EndNote&gt;</w:instrText>
      </w:r>
      <w:r w:rsidR="009331A4">
        <w:fldChar w:fldCharType="separate"/>
      </w:r>
      <w:r w:rsidR="004838A0">
        <w:rPr>
          <w:noProof/>
        </w:rPr>
        <w:t>[</w:t>
      </w:r>
      <w:hyperlink w:anchor="_ENREF_19" w:tooltip="Maricich, 2021 #522" w:history="1">
        <w:r w:rsidR="00C20B73">
          <w:rPr>
            <w:noProof/>
          </w:rPr>
          <w:t>19</w:t>
        </w:r>
      </w:hyperlink>
      <w:r w:rsidR="004838A0">
        <w:rPr>
          <w:noProof/>
        </w:rPr>
        <w:t>]</w:t>
      </w:r>
      <w:r w:rsidR="009331A4">
        <w:fldChar w:fldCharType="end"/>
      </w:r>
      <w:r w:rsidR="004838A0">
        <w:t>,</w:t>
      </w:r>
      <w:r w:rsidR="009331A4">
        <w:t xml:space="preserve"> and that treated patients </w:t>
      </w:r>
      <w:r w:rsidR="000903B9">
        <w:t xml:space="preserve">incurred reduced costs </w:t>
      </w:r>
      <w:r w:rsidR="009E06EF">
        <w:t xml:space="preserve">to third-party payers (for all health care resource use over 9 months) </w:t>
      </w:r>
      <w:r w:rsidR="000903B9">
        <w:t xml:space="preserve">compared to controls, </w:t>
      </w:r>
      <w:r w:rsidR="00730DB4">
        <w:t xml:space="preserve">attributed </w:t>
      </w:r>
      <w:r w:rsidR="00D61D76">
        <w:t xml:space="preserve">mostly </w:t>
      </w:r>
      <w:r w:rsidR="00730DB4">
        <w:t xml:space="preserve">to a reduction in inpatient, </w:t>
      </w:r>
      <w:r w:rsidR="00F33548">
        <w:t>intensive care unit (</w:t>
      </w:r>
      <w:r w:rsidR="00730DB4">
        <w:t>ICU</w:t>
      </w:r>
      <w:r w:rsidR="00F33548">
        <w:t>)</w:t>
      </w:r>
      <w:r w:rsidR="00730DB4">
        <w:t>,</w:t>
      </w:r>
      <w:r w:rsidR="000903B9">
        <w:t xml:space="preserve"> and</w:t>
      </w:r>
      <w:r w:rsidR="00730DB4">
        <w:t xml:space="preserve"> </w:t>
      </w:r>
      <w:r w:rsidR="00F33548">
        <w:t xml:space="preserve">ED </w:t>
      </w:r>
      <w:r w:rsidR="00730DB4">
        <w:t>visits</w:t>
      </w:r>
      <w:r w:rsidRPr="00F50F7E">
        <w:t>, despite similar levels of buprenorphine adherence</w:t>
      </w:r>
      <w:r w:rsidR="00681087">
        <w:fldChar w:fldCharType="begin"/>
      </w:r>
      <w:r w:rsidR="004838A0">
        <w:instrText xml:space="preserve"> ADDIN EN.CITE &lt;EndNote&gt;&lt;Cite&gt;&lt;Author&gt;Velez F&lt;/Author&gt;&lt;Year&gt;2021&lt;/Year&gt;&lt;RecNum&gt;532&lt;/RecNum&gt;&lt;DisplayText&gt;[20]&lt;/DisplayText&gt;&lt;record&gt;&lt;rec-number&gt;532&lt;/rec-number&gt;&lt;foreign-keys&gt;&lt;key app="EN" db-id="9z2t9av26xzf2yew5tv5wsvd55zdwzx0t5rr" timestamp="1636559067"&gt;532&lt;/key&gt;&lt;/foreign-keys&gt;&lt;ref-type name="Journal Article"&gt;17&lt;/ref-type&gt;&lt;contributors&gt;&lt;authors&gt;&lt;author&gt;Velez F,&lt;/author&gt;&lt;author&gt;Colman S,&lt;/author&gt;&lt;author&gt;Kauffman L,&lt;/author&gt;&lt;author&gt;et al., &lt;/author&gt;&lt;/authors&gt;&lt;/contributors&gt;&lt;titles&gt;&lt;title&gt;Comparison of healthcare resource utilization between patients who engaged or did not engage with a prescription digital therapeutic for opioid use disorder&lt;/title&gt;&lt;secondary-title&gt;ClinicoEconomics and Outcomes Research&lt;/secondary-title&gt;&lt;/titles&gt;&lt;periodical&gt;&lt;full-title&gt;ClinicoEconomics and Outcomes Research&lt;/full-title&gt;&lt;/periodical&gt;&lt;pages&gt;909-916&lt;/pages&gt;&lt;volume&gt;13&lt;/volume&gt;&lt;dates&gt;&lt;year&gt;2021&lt;/year&gt;&lt;/dates&gt;&lt;urls&gt;&lt;/urls&gt;&lt;/record&gt;&lt;/Cite&gt;&lt;/EndNote&gt;</w:instrText>
      </w:r>
      <w:r w:rsidR="00681087">
        <w:fldChar w:fldCharType="separate"/>
      </w:r>
      <w:r w:rsidR="004838A0">
        <w:rPr>
          <w:noProof/>
        </w:rPr>
        <w:t>[</w:t>
      </w:r>
      <w:hyperlink w:anchor="_ENREF_20" w:tooltip="Velez F, 2021 #532" w:history="1">
        <w:r w:rsidR="00C20B73">
          <w:rPr>
            <w:noProof/>
          </w:rPr>
          <w:t>20</w:t>
        </w:r>
      </w:hyperlink>
      <w:r w:rsidR="004838A0">
        <w:rPr>
          <w:noProof/>
        </w:rPr>
        <w:t>]</w:t>
      </w:r>
      <w:r w:rsidR="00681087">
        <w:fldChar w:fldCharType="end"/>
      </w:r>
      <w:r w:rsidR="004838A0">
        <w:t>.</w:t>
      </w:r>
    </w:p>
    <w:p w14:paraId="1755A4BC" w14:textId="581C2626" w:rsidR="000903B9" w:rsidRDefault="000903B9" w:rsidP="000903B9">
      <w:pPr>
        <w:keepNext/>
        <w:spacing w:line="480" w:lineRule="auto"/>
        <w:ind w:firstLine="720"/>
      </w:pPr>
      <w:r w:rsidRPr="00F50F7E">
        <w:t xml:space="preserve">The current </w:t>
      </w:r>
      <w:r>
        <w:t>study</w:t>
      </w:r>
      <w:r w:rsidRPr="00F50F7E">
        <w:t xml:space="preserve"> </w:t>
      </w:r>
      <w:r>
        <w:t>sought</w:t>
      </w:r>
      <w:r w:rsidRPr="00F50F7E">
        <w:t xml:space="preserve"> to </w:t>
      </w:r>
      <w:r w:rsidR="002129F6" w:rsidRPr="00B66BAA">
        <w:t xml:space="preserve">assess long-term (12 months post-treatment initiation) changes in health care resource utilization </w:t>
      </w:r>
      <w:r w:rsidR="001B64FC">
        <w:t>(</w:t>
      </w:r>
      <w:r w:rsidR="00D64495">
        <w:t>HCRU</w:t>
      </w:r>
      <w:r w:rsidR="001B64FC">
        <w:t>)</w:t>
      </w:r>
      <w:r w:rsidR="00D64495">
        <w:t xml:space="preserve">, associated costs, </w:t>
      </w:r>
      <w:r w:rsidR="002129F6" w:rsidRPr="00B66BAA">
        <w:t>and buprenorphine adherence in a large, all-comer population of patients who were prescribed reSET-O in real-world conditions.</w:t>
      </w:r>
      <w:r>
        <w:t xml:space="preserve"> </w:t>
      </w:r>
    </w:p>
    <w:p w14:paraId="7E72968B" w14:textId="77777777" w:rsidR="00E24BC4" w:rsidRDefault="00E24BC4" w:rsidP="002541D9">
      <w:pPr>
        <w:keepNext/>
        <w:spacing w:line="480" w:lineRule="auto"/>
      </w:pPr>
    </w:p>
    <w:p w14:paraId="47C721E1" w14:textId="27EA5D24" w:rsidR="00C53979" w:rsidRDefault="001559EB" w:rsidP="002541D9">
      <w:pPr>
        <w:keepNext/>
        <w:spacing w:line="480" w:lineRule="auto"/>
        <w:rPr>
          <w:b/>
        </w:rPr>
      </w:pPr>
      <w:r>
        <w:rPr>
          <w:b/>
        </w:rPr>
        <w:t>Methods</w:t>
      </w:r>
    </w:p>
    <w:p w14:paraId="65040598" w14:textId="554A8B1C" w:rsidR="00204576" w:rsidRPr="00B66BAA" w:rsidRDefault="00204576" w:rsidP="00B66BAA">
      <w:pPr>
        <w:spacing w:before="240" w:after="120" w:line="480" w:lineRule="auto"/>
        <w:rPr>
          <w:u w:val="single"/>
        </w:rPr>
      </w:pPr>
      <w:r>
        <w:rPr>
          <w:u w:val="single"/>
        </w:rPr>
        <w:t xml:space="preserve">Data Source and Study Population </w:t>
      </w:r>
    </w:p>
    <w:p w14:paraId="44781CBE" w14:textId="1D14F045" w:rsidR="00B84545" w:rsidRPr="002136C0" w:rsidRDefault="009E3093" w:rsidP="00B84545">
      <w:pPr>
        <w:spacing w:line="480" w:lineRule="auto"/>
        <w:ind w:firstLine="720"/>
        <w:rPr>
          <w:color w:val="000000"/>
        </w:rPr>
      </w:pPr>
      <w:r w:rsidRPr="0092653F">
        <w:rPr>
          <w:bCs/>
        </w:rPr>
        <w:t>A</w:t>
      </w:r>
      <w:r>
        <w:rPr>
          <w:bCs/>
        </w:rPr>
        <w:t xml:space="preserve"> </w:t>
      </w:r>
      <w:r w:rsidR="00F37798">
        <w:rPr>
          <w:bCs/>
        </w:rPr>
        <w:t xml:space="preserve">retrospective </w:t>
      </w:r>
      <w:r>
        <w:rPr>
          <w:bCs/>
        </w:rPr>
        <w:t>12-month</w:t>
      </w:r>
      <w:r w:rsidR="00F37798">
        <w:rPr>
          <w:bCs/>
        </w:rPr>
        <w:t>,</w:t>
      </w:r>
      <w:r>
        <w:rPr>
          <w:bCs/>
        </w:rPr>
        <w:t xml:space="preserve"> real-world </w:t>
      </w:r>
      <w:r>
        <w:t xml:space="preserve">analysis </w:t>
      </w:r>
      <w:r w:rsidR="00F37798">
        <w:t xml:space="preserve">using </w:t>
      </w:r>
      <w:r>
        <w:t xml:space="preserve">HealthVerity PrivateSource20 claims data (from January </w:t>
      </w:r>
      <w:r>
        <w:rPr>
          <w:color w:val="000000"/>
        </w:rPr>
        <w:t xml:space="preserve">1, </w:t>
      </w:r>
      <w:r w:rsidR="000D4B07">
        <w:rPr>
          <w:color w:val="000000"/>
        </w:rPr>
        <w:t xml:space="preserve">2018 </w:t>
      </w:r>
      <w:r>
        <w:rPr>
          <w:color w:val="000000"/>
        </w:rPr>
        <w:t xml:space="preserve">to February 28, 2021) </w:t>
      </w:r>
      <w:r>
        <w:t>was conducted</w:t>
      </w:r>
      <w:r w:rsidR="00204576">
        <w:t xml:space="preserve">. </w:t>
      </w:r>
      <w:r w:rsidR="00204576">
        <w:rPr>
          <w:color w:val="000000"/>
        </w:rPr>
        <w:t xml:space="preserve">The data source includes closed medical and pharmacy claims for approximately 70 million commercial, 60 million Medicaid, and 15 million Medicare enrollees represented across 150 payers since 2015. </w:t>
      </w:r>
      <w:r>
        <w:t xml:space="preserve"> </w:t>
      </w:r>
      <w:r w:rsidR="00204576">
        <w:t>Included were all a</w:t>
      </w:r>
      <w:r>
        <w:t xml:space="preserve">dults </w:t>
      </w:r>
      <w:r w:rsidR="00204576">
        <w:t>prescribed reSET-O with available claims data</w:t>
      </w:r>
      <w:r w:rsidR="006217C5">
        <w:t xml:space="preserve">, </w:t>
      </w:r>
      <w:r>
        <w:t xml:space="preserve">with at least 8 months of </w:t>
      </w:r>
      <w:r w:rsidR="00204576">
        <w:t xml:space="preserve">medical </w:t>
      </w:r>
      <w:r w:rsidR="00F37798">
        <w:t xml:space="preserve">eligibility </w:t>
      </w:r>
      <w:r>
        <w:t xml:space="preserve">after </w:t>
      </w:r>
      <w:r w:rsidR="00F37798">
        <w:t xml:space="preserve">reSET-O </w:t>
      </w:r>
      <w:r>
        <w:t>initiation (index</w:t>
      </w:r>
      <w:r w:rsidR="00F37798">
        <w:t xml:space="preserve"> date</w:t>
      </w:r>
      <w:r>
        <w:t>).</w:t>
      </w:r>
      <w:r w:rsidR="007A1A8E">
        <w:t xml:space="preserve"> A total of 901 </w:t>
      </w:r>
      <w:r w:rsidR="00F77270">
        <w:t xml:space="preserve">patients </w:t>
      </w:r>
      <w:r w:rsidR="006B0AB7">
        <w:t xml:space="preserve">in recovery from OUD </w:t>
      </w:r>
      <w:r w:rsidR="00F77270" w:rsidRPr="00F50F7E">
        <w:t>who filled their prescription and engaged with the therapeutic</w:t>
      </w:r>
      <w:r w:rsidR="00F77270">
        <w:t xml:space="preserve"> were compared to a cohort of 978 patients </w:t>
      </w:r>
      <w:r w:rsidR="006B0AB7">
        <w:t xml:space="preserve">in recovery from OUD </w:t>
      </w:r>
      <w:r w:rsidR="00F77270">
        <w:t xml:space="preserve">who </w:t>
      </w:r>
      <w:r w:rsidR="00F77270" w:rsidRPr="00F50F7E">
        <w:t>did not fill the</w:t>
      </w:r>
      <w:r w:rsidR="00F77270">
        <w:t>ir</w:t>
      </w:r>
      <w:r w:rsidR="00F77270" w:rsidRPr="00F50F7E">
        <w:t xml:space="preserve"> prescription</w:t>
      </w:r>
      <w:r w:rsidR="006854DE">
        <w:t xml:space="preserve"> (Figure 2)</w:t>
      </w:r>
      <w:r w:rsidR="00F77270" w:rsidRPr="00F50F7E">
        <w:t xml:space="preserve">. </w:t>
      </w:r>
      <w:r w:rsidR="00F77270">
        <w:t>Changes in buprenorphine adherence were also assessed.</w:t>
      </w:r>
      <w:r>
        <w:t xml:space="preserve"> </w:t>
      </w:r>
      <w:r w:rsidR="00F37798">
        <w:t xml:space="preserve">Index dates included </w:t>
      </w:r>
      <w:r w:rsidR="00F37798" w:rsidRPr="00CB5EE9">
        <w:t>January</w:t>
      </w:r>
      <w:r w:rsidR="00F37798">
        <w:t xml:space="preserve"> 10,</w:t>
      </w:r>
      <w:r w:rsidR="00F37798" w:rsidRPr="00CB5EE9">
        <w:t xml:space="preserve"> 2019 through June </w:t>
      </w:r>
      <w:r w:rsidR="00F37798">
        <w:t xml:space="preserve">30, </w:t>
      </w:r>
      <w:r w:rsidR="00F37798" w:rsidRPr="00CB5EE9">
        <w:t>2020.</w:t>
      </w:r>
      <w:r w:rsidR="00B84545">
        <w:t xml:space="preserve"> </w:t>
      </w:r>
      <w:r w:rsidR="00B84545" w:rsidRPr="003616C9">
        <w:rPr>
          <w:color w:val="000000"/>
        </w:rPr>
        <w:t xml:space="preserve">This study received a waiver of authorization for the use and disclosure of </w:t>
      </w:r>
      <w:r w:rsidR="00B84545" w:rsidRPr="003616C9">
        <w:rPr>
          <w:color w:val="000000"/>
        </w:rPr>
        <w:lastRenderedPageBreak/>
        <w:t xml:space="preserve">protected health information and a determination of exempt status </w:t>
      </w:r>
      <w:r w:rsidR="00B84545" w:rsidRPr="002136C0">
        <w:rPr>
          <w:color w:val="000000"/>
        </w:rPr>
        <w:t xml:space="preserve">under 45 CFR § 46.104(d)(4) from Western Institutional Review Board on </w:t>
      </w:r>
      <w:r w:rsidR="00B84545">
        <w:rPr>
          <w:color w:val="000000"/>
        </w:rPr>
        <w:t xml:space="preserve">October 13, </w:t>
      </w:r>
      <w:r w:rsidR="00B84545" w:rsidRPr="002136C0">
        <w:rPr>
          <w:color w:val="000000"/>
        </w:rPr>
        <w:t>202</w:t>
      </w:r>
      <w:r w:rsidR="00B84545">
        <w:rPr>
          <w:color w:val="000000"/>
        </w:rPr>
        <w:t>1</w:t>
      </w:r>
      <w:r w:rsidR="00B84545" w:rsidRPr="002136C0">
        <w:rPr>
          <w:color w:val="000000"/>
        </w:rPr>
        <w:t>.</w:t>
      </w:r>
    </w:p>
    <w:p w14:paraId="090B7062" w14:textId="3F1D8897" w:rsidR="00C53979" w:rsidRDefault="001559EB" w:rsidP="002541D9">
      <w:pPr>
        <w:spacing w:before="240" w:after="120" w:line="480" w:lineRule="auto"/>
        <w:rPr>
          <w:u w:val="single"/>
        </w:rPr>
      </w:pPr>
      <w:r>
        <w:rPr>
          <w:u w:val="single"/>
        </w:rPr>
        <w:t xml:space="preserve">Study Measures </w:t>
      </w:r>
    </w:p>
    <w:p w14:paraId="7995A1E0" w14:textId="08F1234E" w:rsidR="000A5FAC" w:rsidRPr="000A5FAC" w:rsidRDefault="00032BEC" w:rsidP="00254156">
      <w:pPr>
        <w:spacing w:line="480" w:lineRule="auto"/>
        <w:ind w:firstLine="720"/>
      </w:pPr>
      <w:r w:rsidRPr="000A5FAC">
        <w:rPr>
          <w:color w:val="000000"/>
        </w:rPr>
        <w:t xml:space="preserve">Claims were identified as hospital facility encounter claims or clinician </w:t>
      </w:r>
      <w:r w:rsidR="00653237" w:rsidRPr="000A5FAC">
        <w:rPr>
          <w:color w:val="000000"/>
        </w:rPr>
        <w:t xml:space="preserve">services </w:t>
      </w:r>
      <w:r w:rsidRPr="000A5FAC">
        <w:rPr>
          <w:color w:val="000000"/>
        </w:rPr>
        <w:t xml:space="preserve">claims in order to characterize patients’ HCRU. Hospital facility encounters included inpatient stays, </w:t>
      </w:r>
      <w:r w:rsidR="004349B7" w:rsidRPr="000A5FAC">
        <w:rPr>
          <w:color w:val="000000"/>
        </w:rPr>
        <w:t>(</w:t>
      </w:r>
      <w:r w:rsidR="009D3A90" w:rsidRPr="000A5FAC">
        <w:rPr>
          <w:color w:val="000000"/>
        </w:rPr>
        <w:t xml:space="preserve">within which </w:t>
      </w:r>
      <w:r w:rsidRPr="000A5FAC">
        <w:rPr>
          <w:color w:val="000000"/>
        </w:rPr>
        <w:t xml:space="preserve">intensive care unit </w:t>
      </w:r>
      <w:r w:rsidR="007A1A8E" w:rsidRPr="000A5FAC">
        <w:rPr>
          <w:color w:val="000000"/>
        </w:rPr>
        <w:t>[</w:t>
      </w:r>
      <w:r w:rsidRPr="000A5FAC">
        <w:rPr>
          <w:color w:val="000000"/>
        </w:rPr>
        <w:t>ICU</w:t>
      </w:r>
      <w:r w:rsidR="007A1A8E" w:rsidRPr="000A5FAC">
        <w:rPr>
          <w:color w:val="000000"/>
        </w:rPr>
        <w:t>]</w:t>
      </w:r>
      <w:r w:rsidRPr="000A5FAC">
        <w:rPr>
          <w:color w:val="000000"/>
        </w:rPr>
        <w:t xml:space="preserve"> stays</w:t>
      </w:r>
      <w:r w:rsidR="009D3A90" w:rsidRPr="000A5FAC">
        <w:rPr>
          <w:color w:val="000000"/>
        </w:rPr>
        <w:t xml:space="preserve"> and hospital readmissions were separately assessed)</w:t>
      </w:r>
      <w:r w:rsidRPr="000A5FAC">
        <w:rPr>
          <w:color w:val="000000"/>
        </w:rPr>
        <w:t>, ED visits (not admitted), partial hospitalizations (PH</w:t>
      </w:r>
      <w:r w:rsidR="002E0C08">
        <w:rPr>
          <w:color w:val="000000"/>
        </w:rPr>
        <w:t xml:space="preserve"> - </w:t>
      </w:r>
      <w:r w:rsidR="002E0C08" w:rsidRPr="000A5FAC">
        <w:t>defined as outpatient program</w:t>
      </w:r>
      <w:r w:rsidR="002E0C08">
        <w:t>s</w:t>
      </w:r>
      <w:r w:rsidR="002E0C08" w:rsidRPr="000A5FAC">
        <w:t xml:space="preserve"> specifically designed for the diagnosis or active treatment of serious mental disorder</w:t>
      </w:r>
      <w:r w:rsidR="002E0C08">
        <w:t>s</w:t>
      </w:r>
      <w:r w:rsidR="002E0C08" w:rsidRPr="000A5FAC">
        <w:t xml:space="preserve"> where the patient receives care during the day </w:t>
      </w:r>
      <w:r w:rsidR="002E0C08">
        <w:t>and returns to a private residence at night</w:t>
      </w:r>
      <w:r w:rsidRPr="000A5FAC">
        <w:rPr>
          <w:color w:val="000000"/>
        </w:rPr>
        <w:t>), and hospital outpatient department (HOPD) visits.</w:t>
      </w:r>
      <w:r w:rsidR="002E0C08" w:rsidRPr="002E0C08">
        <w:rPr>
          <w:color w:val="000000"/>
        </w:rPr>
        <w:t xml:space="preserve"> </w:t>
      </w:r>
      <w:r w:rsidR="002E0C08">
        <w:rPr>
          <w:color w:val="000000"/>
        </w:rPr>
        <w:t>The</w:t>
      </w:r>
      <w:r w:rsidR="002E0C08">
        <w:t xml:space="preserve"> composite outcome of unique hospital encounters (inpatient stays + PH + ED visits + HOPD visits) was also examined. </w:t>
      </w:r>
    </w:p>
    <w:p w14:paraId="0F940F4C" w14:textId="08BCEAF7" w:rsidR="00032BEC" w:rsidRDefault="00032BEC" w:rsidP="000A5FAC">
      <w:pPr>
        <w:keepNext/>
        <w:pBdr>
          <w:top w:val="nil"/>
          <w:left w:val="nil"/>
          <w:bottom w:val="nil"/>
          <w:right w:val="nil"/>
          <w:between w:val="nil"/>
        </w:pBdr>
        <w:spacing w:line="480" w:lineRule="auto"/>
        <w:ind w:firstLine="720"/>
      </w:pPr>
      <w:r w:rsidRPr="000A5FAC">
        <w:rPr>
          <w:color w:val="000000"/>
        </w:rPr>
        <w:t>Clinician services included categories of Current Procedure Terminology (CPT) codes identified from clinician claims such</w:t>
      </w:r>
      <w:r>
        <w:rPr>
          <w:color w:val="000000"/>
        </w:rPr>
        <w:t xml:space="preserve"> as</w:t>
      </w:r>
      <w:r w:rsidR="00A1049F">
        <w:rPr>
          <w:color w:val="000000"/>
        </w:rPr>
        <w:t>:</w:t>
      </w:r>
      <w:r>
        <w:rPr>
          <w:color w:val="000000"/>
        </w:rPr>
        <w:t xml:space="preserve"> evaluation and management </w:t>
      </w:r>
      <w:r w:rsidR="001048AF">
        <w:rPr>
          <w:color w:val="000000"/>
        </w:rPr>
        <w:t xml:space="preserve">(E&amp;M) </w:t>
      </w:r>
      <w:r>
        <w:rPr>
          <w:color w:val="000000"/>
        </w:rPr>
        <w:t>codes, medical codes (e.g., cardiovascular, psychiatry, neurology), pathology and laboratory, and rehabilitative services.</w:t>
      </w:r>
      <w:r w:rsidRPr="00BA486C">
        <w:rPr>
          <w:color w:val="000000"/>
        </w:rPr>
        <w:t xml:space="preserve"> </w:t>
      </w:r>
      <w:r>
        <w:t xml:space="preserve">Lastly, </w:t>
      </w:r>
      <w:r>
        <w:rPr>
          <w:color w:val="000000"/>
        </w:rPr>
        <w:t xml:space="preserve">buprenorphine adherence was evaluated using buprenorphine pharmacy claims. </w:t>
      </w:r>
    </w:p>
    <w:p w14:paraId="4C368D4B" w14:textId="23BD07A1" w:rsidR="00C665BE" w:rsidRDefault="00C665BE" w:rsidP="005F3CA3">
      <w:pPr>
        <w:keepNext/>
        <w:pBdr>
          <w:top w:val="nil"/>
          <w:left w:val="nil"/>
          <w:bottom w:val="nil"/>
          <w:right w:val="nil"/>
          <w:between w:val="nil"/>
        </w:pBdr>
        <w:spacing w:after="120" w:line="480" w:lineRule="auto"/>
        <w:ind w:firstLine="720"/>
        <w:rPr>
          <w:color w:val="000000"/>
        </w:rPr>
      </w:pPr>
    </w:p>
    <w:p w14:paraId="0BF0BCDA" w14:textId="24B4CAC2" w:rsidR="00C53979" w:rsidRDefault="001559EB" w:rsidP="0013180D">
      <w:pPr>
        <w:spacing w:line="480" w:lineRule="auto"/>
        <w:rPr>
          <w:u w:val="single"/>
        </w:rPr>
      </w:pPr>
      <w:r>
        <w:rPr>
          <w:u w:val="single"/>
        </w:rPr>
        <w:t>Analyses</w:t>
      </w:r>
    </w:p>
    <w:p w14:paraId="2243F45D" w14:textId="16304FCA" w:rsidR="001048AF" w:rsidRDefault="001048AF" w:rsidP="001048AF">
      <w:pPr>
        <w:spacing w:line="480" w:lineRule="auto"/>
        <w:ind w:firstLine="720"/>
      </w:pPr>
      <w:r>
        <w:t>Patients who initiated reSET-O</w:t>
      </w:r>
      <w:r w:rsidRPr="00F50F7E">
        <w:t xml:space="preserve"> and engaged with the </w:t>
      </w:r>
      <w:r>
        <w:t>PDT for more than 1 week were included in the reSET-O cohort</w:t>
      </w:r>
      <w:r w:rsidR="00B54981">
        <w:t xml:space="preserve"> (index date is date of reSET-O initiation)</w:t>
      </w:r>
      <w:r>
        <w:t>, and patients who were prescribed reSET-O but did not initiate it were included in the control cohort</w:t>
      </w:r>
      <w:r w:rsidR="00B54981">
        <w:t xml:space="preserve"> (index date is date of reSET-O </w:t>
      </w:r>
      <w:r w:rsidR="00B54981" w:rsidRPr="0049242C">
        <w:t>prescription</w:t>
      </w:r>
      <w:r w:rsidR="00B54981">
        <w:t>)</w:t>
      </w:r>
      <w:r>
        <w:t xml:space="preserve">. Analyses included a comparison of all-cause HCRU between the </w:t>
      </w:r>
      <w:r w:rsidR="00B54981">
        <w:t xml:space="preserve">12-month </w:t>
      </w:r>
      <w:r>
        <w:t xml:space="preserve">post-index periods of the reSET-O cohort </w:t>
      </w:r>
      <w:r w:rsidR="007C40F1">
        <w:t xml:space="preserve">and </w:t>
      </w:r>
      <w:r w:rsidR="00A7496A">
        <w:t>the</w:t>
      </w:r>
      <w:r>
        <w:t xml:space="preserve"> control cohort.</w:t>
      </w:r>
      <w:r w:rsidRPr="00F50F7E">
        <w:t xml:space="preserve"> </w:t>
      </w:r>
    </w:p>
    <w:p w14:paraId="51D3F520" w14:textId="33D33EF7" w:rsidR="00B54981" w:rsidRDefault="001048AF" w:rsidP="00087C39">
      <w:pPr>
        <w:spacing w:line="480" w:lineRule="auto"/>
        <w:ind w:firstLine="720"/>
      </w:pPr>
      <w:r>
        <w:lastRenderedPageBreak/>
        <w:t>HCRU i</w:t>
      </w:r>
      <w:r w:rsidRPr="00446778">
        <w:t xml:space="preserve">ncidence rates </w:t>
      </w:r>
      <w:r>
        <w:t xml:space="preserve">and </w:t>
      </w:r>
      <w:r w:rsidR="007116FE">
        <w:t>incidence rate ratios (</w:t>
      </w:r>
      <w:r>
        <w:t>IRRs</w:t>
      </w:r>
      <w:r w:rsidR="007116FE">
        <w:t>)</w:t>
      </w:r>
      <w:r>
        <w:t xml:space="preserve"> were calculated </w:t>
      </w:r>
      <w:r w:rsidRPr="00446778">
        <w:t xml:space="preserve">using a </w:t>
      </w:r>
      <w:r w:rsidRPr="004135A5">
        <w:t>negative binomial model of counts of HCRU adjusted for age, sex, region, payer type, Charlson comorbidity index</w:t>
      </w:r>
      <w:r w:rsidR="002E0D2C">
        <w:t xml:space="preserve"> (CCI)</w:t>
      </w:r>
      <w:r w:rsidRPr="004135A5">
        <w:t>, and count of same HCRU, with an offset for the number eligible days in the post-index period</w:t>
      </w:r>
      <w:r>
        <w:t xml:space="preserve">. </w:t>
      </w:r>
      <w:r w:rsidR="00B54981">
        <w:t xml:space="preserve">A </w:t>
      </w:r>
      <w:r w:rsidR="00F66AB8">
        <w:t>further</w:t>
      </w:r>
      <w:r w:rsidR="00B54981">
        <w:t xml:space="preserve"> analysis adjusting for mental health and substance use disorders in the pre-index period was also performed. Mental health disorders included the following: anxiety, bipolar and related, depressive, disruptive, d</w:t>
      </w:r>
      <w:r w:rsidR="00B54981" w:rsidRPr="003D313C">
        <w:t>issociative</w:t>
      </w:r>
      <w:r w:rsidR="00B54981">
        <w:t>, eating, n</w:t>
      </w:r>
      <w:r w:rsidR="00B54981" w:rsidRPr="003D313C">
        <w:t>eurocognitive</w:t>
      </w:r>
      <w:r w:rsidR="00B54981">
        <w:t>, n</w:t>
      </w:r>
      <w:r w:rsidR="00B54981" w:rsidRPr="003D313C">
        <w:t>eurodevelopmental</w:t>
      </w:r>
      <w:r w:rsidR="00B54981">
        <w:t>, o</w:t>
      </w:r>
      <w:r w:rsidR="00B54981" w:rsidRPr="003D313C">
        <w:t>bsessive-</w:t>
      </w:r>
      <w:r w:rsidR="00B54981">
        <w:t>c</w:t>
      </w:r>
      <w:r w:rsidR="00B54981" w:rsidRPr="003D313C">
        <w:t>ompulsive</w:t>
      </w:r>
      <w:r w:rsidR="00B54981">
        <w:t>, personality, s</w:t>
      </w:r>
      <w:r w:rsidR="00B54981" w:rsidRPr="003D313C">
        <w:t>chizophrenia</w:t>
      </w:r>
      <w:r w:rsidR="00B54981">
        <w:t>,</w:t>
      </w:r>
      <w:r w:rsidR="00B54981" w:rsidRPr="003D313C">
        <w:t xml:space="preserve"> </w:t>
      </w:r>
      <w:r w:rsidR="00B54981">
        <w:t>sleep, and somatic symptom. Substance use disorders included the following with an ICD-10 diagnosis claim for abuse, use, or dependence: cannabis, cocaine, hallucinogen, nicotine, sedative/hypnotic/anxiolytic, other psychoactive, and other stimulant.</w:t>
      </w:r>
    </w:p>
    <w:p w14:paraId="29D097C7" w14:textId="7DEBC13E" w:rsidR="00087C39" w:rsidRDefault="00695026" w:rsidP="00087C39">
      <w:pPr>
        <w:spacing w:line="480" w:lineRule="auto"/>
        <w:ind w:firstLine="720"/>
        <w:rPr>
          <w:color w:val="000000"/>
        </w:rPr>
      </w:pPr>
      <w:r>
        <w:t xml:space="preserve">Number of events were reported per-1,000 treated patients to account for the difference in sample sizes between comparison groups. </w:t>
      </w:r>
      <w:r w:rsidR="001048AF">
        <w:t xml:space="preserve">Buprenorphine adherence was also assessed and compared between the two cohorts with </w:t>
      </w:r>
      <w:r w:rsidR="001048AF" w:rsidRPr="00ED6D5E">
        <w:t xml:space="preserve">a linear model of </w:t>
      </w:r>
      <w:r w:rsidR="00F66AB8">
        <w:t>the medication possession ratio (</w:t>
      </w:r>
      <w:r w:rsidR="001048AF" w:rsidRPr="00ED6D5E">
        <w:t>MPR</w:t>
      </w:r>
      <w:r w:rsidR="00F66AB8">
        <w:t>)</w:t>
      </w:r>
      <w:r w:rsidR="001048AF" w:rsidRPr="00ED6D5E">
        <w:t xml:space="preserve"> on cohort and eligible days</w:t>
      </w:r>
      <w:r w:rsidR="00F66AB8">
        <w:t xml:space="preserve"> in the post-index period</w:t>
      </w:r>
      <w:r w:rsidR="001048AF">
        <w:t>.</w:t>
      </w:r>
      <w:r w:rsidR="001048AF">
        <w:rPr>
          <w:color w:val="000000"/>
        </w:rPr>
        <w:fldChar w:fldCharType="begin"/>
      </w:r>
      <w:r w:rsidR="004838A0">
        <w:rPr>
          <w:color w:val="000000"/>
        </w:rPr>
        <w:instrText xml:space="preserve"> ADDIN EN.CITE &lt;EndNote&gt;&lt;Cite&gt;&lt;Author&gt;Cramer&lt;/Author&gt;&lt;Year&gt;2008&lt;/Year&gt;&lt;RecNum&gt;383&lt;/RecNum&gt;&lt;DisplayText&gt;[21]&lt;/DisplayText&gt;&lt;record&gt;&lt;rec-number&gt;383&lt;/rec-number&gt;&lt;foreign-keys&gt;&lt;key app="EN" db-id="9z2t9av26xzf2yew5tv5wsvd55zdwzx0t5rr" timestamp="1607025419"&gt;383&lt;/key&gt;&lt;/foreign-keys&gt;&lt;ref-type name="Journal Article"&gt;17&lt;/ref-type&gt;&lt;contributors&gt;&lt;authors&gt;&lt;author&gt;Cramer, J. A.&lt;/author&gt;&lt;author&gt;Roy, A.&lt;/author&gt;&lt;author&gt;Burrell, A.&lt;/author&gt;&lt;author&gt;Fairchild, C. J.&lt;/author&gt;&lt;author&gt;Fuldeore, M. J.&lt;/author&gt;&lt;author&gt;Ollendorf, D. A.&lt;/author&gt;&lt;author&gt;Wong, P. K.&lt;/author&gt;&lt;/authors&gt;&lt;/contributors&gt;&lt;auth-address&gt;Yale University School of Medicine, New Haven, CT, USA. joyce.cramer@yale.edu&lt;/auth-address&gt;&lt;titles&gt;&lt;title&gt;Medication compliance and persistence: terminology and definitions&lt;/title&gt;&lt;secondary-title&gt;Value Health&lt;/secondary-title&gt;&lt;/titles&gt;&lt;periodical&gt;&lt;full-title&gt;Value Health&lt;/full-title&gt;&lt;/periodical&gt;&lt;pages&gt;44-7&lt;/pages&gt;&lt;volume&gt;11&lt;/volume&gt;&lt;number&gt;1&lt;/number&gt;&lt;edition&gt;2008/02/02&lt;/edition&gt;&lt;keywords&gt;&lt;keyword&gt;Drug Therapy/ statistics &amp;amp; numerical data&lt;/keyword&gt;&lt;keyword&gt;Humans&lt;/keyword&gt;&lt;keyword&gt;Patient Compliance&lt;/keyword&gt;&lt;keyword&gt;Terminology as Topic&lt;/keyword&gt;&lt;keyword&gt;Time Factors&lt;/keyword&gt;&lt;/keywords&gt;&lt;dates&gt;&lt;year&gt;2008&lt;/year&gt;&lt;pub-dates&gt;&lt;date&gt;Jan-Feb&lt;/date&gt;&lt;/pub-dates&gt;&lt;/dates&gt;&lt;isbn&gt;1524-4733 (Electronic)&amp;#xD;1098-3015 (Linking)&lt;/isbn&gt;&lt;accession-num&gt;18237359&lt;/accession-num&gt;&lt;urls&gt;&lt;/urls&gt;&lt;electronic-resource-num&gt;10.1111/j.1524-4733.2007.00213.x&lt;/electronic-resource-num&gt;&lt;remote-database-provider&gt;NLM&lt;/remote-database-provider&gt;&lt;language&gt;eng&lt;/language&gt;&lt;/record&gt;&lt;/Cite&gt;&lt;/EndNote&gt;</w:instrText>
      </w:r>
      <w:r w:rsidR="001048AF">
        <w:rPr>
          <w:color w:val="000000"/>
        </w:rPr>
        <w:fldChar w:fldCharType="separate"/>
      </w:r>
      <w:r w:rsidR="004838A0">
        <w:rPr>
          <w:noProof/>
          <w:color w:val="000000"/>
        </w:rPr>
        <w:t>[</w:t>
      </w:r>
      <w:hyperlink w:anchor="_ENREF_21" w:tooltip="Cramer, 2008 #383" w:history="1">
        <w:r w:rsidR="00C20B73">
          <w:rPr>
            <w:noProof/>
            <w:color w:val="000000"/>
          </w:rPr>
          <w:t>21</w:t>
        </w:r>
      </w:hyperlink>
      <w:r w:rsidR="004838A0">
        <w:rPr>
          <w:noProof/>
          <w:color w:val="000000"/>
        </w:rPr>
        <w:t>]</w:t>
      </w:r>
      <w:r w:rsidR="001048AF">
        <w:rPr>
          <w:color w:val="000000"/>
        </w:rPr>
        <w:fldChar w:fldCharType="end"/>
      </w:r>
      <w:r w:rsidR="00972A36" w:rsidRPr="00972A36">
        <w:t xml:space="preserve"> </w:t>
      </w:r>
      <w:r w:rsidR="00972A36" w:rsidRPr="00972A36">
        <w:rPr>
          <w:color w:val="000000"/>
        </w:rPr>
        <w:t>MPR is calculated as the number of days' supply of buprenorphine during the post-index period divided by the number of eligible days in the post-index period. Adjust</w:t>
      </w:r>
      <w:r w:rsidR="00972A36">
        <w:rPr>
          <w:color w:val="000000"/>
        </w:rPr>
        <w:t>ed</w:t>
      </w:r>
      <w:r w:rsidR="00972A36" w:rsidRPr="00972A36">
        <w:rPr>
          <w:color w:val="000000"/>
        </w:rPr>
        <w:t xml:space="preserve"> MPR is derived from the least square means from a linear model of MPR on cohort and eligible days in the post-index period.</w:t>
      </w:r>
    </w:p>
    <w:p w14:paraId="21039A29" w14:textId="4A235F4C" w:rsidR="00F66AB8" w:rsidRDefault="00087C39" w:rsidP="00087C39">
      <w:pPr>
        <w:pBdr>
          <w:top w:val="nil"/>
          <w:left w:val="nil"/>
          <w:bottom w:val="nil"/>
          <w:right w:val="nil"/>
          <w:between w:val="nil"/>
        </w:pBdr>
        <w:spacing w:line="480" w:lineRule="auto"/>
        <w:ind w:firstLine="720"/>
        <w:rPr>
          <w:color w:val="000000"/>
        </w:rPr>
      </w:pPr>
      <w:r>
        <w:rPr>
          <w:color w:val="000000"/>
        </w:rPr>
        <w:t xml:space="preserve">A scenario analysis of the cost impact of changes in facility and clinical service encounters was conducted using published </w:t>
      </w:r>
      <w:r w:rsidR="00CE1C20">
        <w:rPr>
          <w:color w:val="000000"/>
        </w:rPr>
        <w:t xml:space="preserve">per-patient </w:t>
      </w:r>
      <w:r>
        <w:rPr>
          <w:color w:val="000000"/>
        </w:rPr>
        <w:t xml:space="preserve">facility costs for </w:t>
      </w:r>
      <w:r w:rsidR="00CE1C20">
        <w:rPr>
          <w:color w:val="000000"/>
        </w:rPr>
        <w:t xml:space="preserve">individuals with </w:t>
      </w:r>
      <w:r>
        <w:rPr>
          <w:color w:val="000000"/>
        </w:rPr>
        <w:t>OUD</w:t>
      </w:r>
      <w:r w:rsidR="00BC6BD2">
        <w:rPr>
          <w:color w:val="000000"/>
        </w:rPr>
        <w:t>:</w:t>
      </w:r>
      <w:r>
        <w:rPr>
          <w:color w:val="000000"/>
        </w:rPr>
        <w:t xml:space="preserve"> </w:t>
      </w:r>
      <w:r w:rsidR="00BC6BD2">
        <w:t xml:space="preserve">$19,023 </w:t>
      </w:r>
      <w:r>
        <w:rPr>
          <w:color w:val="000000"/>
        </w:rPr>
        <w:t>for inpatient stays</w:t>
      </w:r>
      <w:r w:rsidR="00BC6BD2">
        <w:fldChar w:fldCharType="begin">
          <w:fldData xml:space="preserve">PEVuZE5vdGU+PENpdGU+PEF1dGhvcj5Bcmlma2hhbm92YTwvQXV0aG9yPjxZZWFyPjIwMjE8L1ll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</w:fldData>
        </w:fldChar>
      </w:r>
      <w:r w:rsidR="004838A0">
        <w:instrText xml:space="preserve"> ADDIN EN.CITE </w:instrText>
      </w:r>
      <w:r w:rsidR="004838A0">
        <w:fldChar w:fldCharType="begin">
          <w:fldData xml:space="preserve">PEVuZE5vdGU+PENpdGU+PEF1dGhvcj5Bcmlma2hhbm92YTwvQXV0aG9yPjxZZWFyPjIwMjE8L1ll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</w:fldData>
        </w:fldChar>
      </w:r>
      <w:r w:rsidR="004838A0">
        <w:instrText xml:space="preserve"> ADDIN EN.CITE.DATA </w:instrText>
      </w:r>
      <w:r w:rsidR="004838A0">
        <w:fldChar w:fldCharType="end"/>
      </w:r>
      <w:r w:rsidR="00BC6BD2">
        <w:fldChar w:fldCharType="separate"/>
      </w:r>
      <w:r w:rsidR="004838A0">
        <w:rPr>
          <w:noProof/>
        </w:rPr>
        <w:t>[</w:t>
      </w:r>
      <w:hyperlink w:anchor="_ENREF_22" w:tooltip="Arifkhanova, 2021 #693" w:history="1">
        <w:r w:rsidR="00C20B73">
          <w:rPr>
            <w:noProof/>
          </w:rPr>
          <w:t>22</w:t>
        </w:r>
      </w:hyperlink>
      <w:r w:rsidR="004838A0">
        <w:rPr>
          <w:noProof/>
        </w:rPr>
        <w:t>]</w:t>
      </w:r>
      <w:r w:rsidR="00BC6BD2">
        <w:fldChar w:fldCharType="end"/>
      </w:r>
      <w:r>
        <w:rPr>
          <w:color w:val="000000"/>
        </w:rPr>
        <w:t xml:space="preserve">, </w:t>
      </w:r>
      <w:r w:rsidR="00BC6BD2">
        <w:t xml:space="preserve">$124,419 </w:t>
      </w:r>
      <w:r>
        <w:rPr>
          <w:color w:val="000000"/>
        </w:rPr>
        <w:t>for ICU stays</w:t>
      </w:r>
      <w:r w:rsidR="00BC6BD2">
        <w:rPr>
          <w:noProof/>
        </w:rPr>
        <w:t>(</w:t>
      </w:r>
      <w:hyperlink w:anchor="_ENREF_24" w:tooltip="Westerhausen, 2020 #694" w:history="1">
        <w:r w:rsidR="00BC6BD2">
          <w:rPr>
            <w:noProof/>
          </w:rPr>
          <w:t>24</w:t>
        </w:r>
      </w:hyperlink>
      <w:r w:rsidR="00BC6BD2">
        <w:rPr>
          <w:noProof/>
        </w:rPr>
        <w:t>)</w:t>
      </w:r>
      <w:r>
        <w:rPr>
          <w:color w:val="000000"/>
        </w:rPr>
        <w:t>, $</w:t>
      </w:r>
      <w:r w:rsidR="00BC6BD2">
        <w:t>1,969</w:t>
      </w:r>
      <w:r>
        <w:rPr>
          <w:color w:val="000000"/>
        </w:rPr>
        <w:t xml:space="preserve"> for ED visits)</w:t>
      </w:r>
      <w:r w:rsidR="002071F6">
        <w:fldChar w:fldCharType="begin"/>
      </w:r>
      <w:r w:rsidR="004838A0">
        <w:instrText xml:space="preserve"> ADDIN EN.CITE &lt;EndNote&gt;&lt;Cite&gt;&lt;Author&gt;Peterson&lt;/Author&gt;&lt;Year&gt;2021&lt;/Year&gt;&lt;RecNum&gt;460&lt;/RecNum&gt;&lt;DisplayText&gt;[23]&lt;/DisplayText&gt;&lt;record&gt;&lt;rec-number&gt;460&lt;/rec-number&gt;&lt;foreign-keys&gt;&lt;key app="EN" db-id="9z2t9av26xzf2yew5tv5wsvd55zdwzx0t5rr" timestamp="1616779237"&gt;460&lt;/key&gt;&lt;/foreign-keys&gt;&lt;ref-type name="Journal Article"&gt;17&lt;/ref-type&gt;&lt;contributors&gt;&lt;authors&gt;&lt;author&gt;Peterson, C.&lt;/author&gt;&lt;author&gt;Li, M.&lt;/author&gt;&lt;author&gt;Xu, L.&lt;/author&gt;&lt;author&gt;Mikosz, C. A.&lt;/author&gt;&lt;author&gt;Luo, F.&lt;/author&gt;&lt;/authors&gt;&lt;/contributors&gt;&lt;auth-address&gt;National Center for Injury Prevention and Control, Centers for Disease Control and Prevention, Atlanta, Georgia.&lt;/auth-address&gt;&lt;titles&gt;&lt;title&gt;Assessment of Annual Cost of Substance Use Disorder in US Hospitals&lt;/title&gt;&lt;secondary-title&gt;JAMA Netw Open&lt;/secondary-title&gt;&lt;/titles&gt;&lt;periodical&gt;&lt;full-title&gt;JAMA Netw Open&lt;/full-title&gt;&lt;/periodical&gt;&lt;pages&gt;e210242&lt;/pages&gt;&lt;volume&gt;4&lt;/volume&gt;&lt;number&gt;3&lt;/number&gt;&lt;edition&gt;2021/03/06&lt;/edition&gt;&lt;dates&gt;&lt;year&gt;2021&lt;/year&gt;&lt;pub-dates&gt;&lt;date&gt;Mar 1&lt;/date&gt;&lt;/pub-dates&gt;&lt;/dates&gt;&lt;isbn&gt;2574-3805 (Electronic)&amp;#xD;2574-3805 (Linking)&lt;/isbn&gt;&lt;accession-num&gt;33666661&lt;/accession-num&gt;&lt;urls&gt;&lt;related-urls&gt;&lt;url&gt;https://www.ncbi.nlm.nih.gov/pubmed/33666661&lt;/url&gt;&lt;url&gt;https://jamanetwork.com/journals/jamanetworkopen/articlepdf/2777032/peterson_2021_oi_210016_1614187616.20721.pdf&lt;/url&gt;&lt;/related-urls&gt;&lt;/urls&gt;&lt;custom2&gt;PMC7936257&lt;/custom2&gt;&lt;electronic-resource-num&gt;10.1001/jamanetworkopen.2021.0242&lt;/electronic-resource-num&gt;&lt;/record&gt;&lt;/Cite&gt;&lt;/EndNote&gt;</w:instrText>
      </w:r>
      <w:r w:rsidR="002071F6">
        <w:fldChar w:fldCharType="separate"/>
      </w:r>
      <w:r w:rsidR="004838A0">
        <w:rPr>
          <w:noProof/>
        </w:rPr>
        <w:t>[</w:t>
      </w:r>
      <w:hyperlink w:anchor="_ENREF_23" w:tooltip="Peterson, 2021 #460" w:history="1">
        <w:r w:rsidR="00C20B73">
          <w:rPr>
            <w:noProof/>
          </w:rPr>
          <w:t>23</w:t>
        </w:r>
      </w:hyperlink>
      <w:r w:rsidR="004838A0">
        <w:rPr>
          <w:noProof/>
        </w:rPr>
        <w:t>]</w:t>
      </w:r>
      <w:r w:rsidR="002071F6">
        <w:fldChar w:fldCharType="end"/>
      </w:r>
      <w:r w:rsidR="002071F6">
        <w:t>,</w:t>
      </w:r>
      <w:r w:rsidR="002071F6">
        <w:rPr>
          <w:color w:val="000000"/>
        </w:rPr>
        <w:t xml:space="preserve"> </w:t>
      </w:r>
      <w:r>
        <w:rPr>
          <w:color w:val="000000"/>
        </w:rPr>
        <w:t>and 2020 Medicare reimbursement rates for remaining facility and clinician services</w:t>
      </w:r>
      <w:r w:rsidR="00D841E8">
        <w:rPr>
          <w:color w:val="000000"/>
        </w:rPr>
        <w:t>, as has been performed in previous analyses</w:t>
      </w:r>
      <w:r>
        <w:rPr>
          <w:color w:val="000000"/>
        </w:rPr>
        <w:t>.</w:t>
      </w:r>
      <w:r w:rsidR="00BC6BD2">
        <w:rPr>
          <w:color w:val="000000"/>
        </w:rPr>
        <w:fldChar w:fldCharType="begin"/>
      </w:r>
      <w:r w:rsidR="004838A0">
        <w:rPr>
          <w:color w:val="000000"/>
        </w:rPr>
        <w:instrText xml:space="preserve"> ADDIN EN.CITE &lt;EndNote&gt;&lt;Cite&gt;&lt;Author&gt;Centers for Medicare and Medicaid Services (CMS)&lt;/Author&gt;&lt;Year&gt;2020&lt;/Year&gt;&lt;RecNum&gt;385&lt;/RecNum&gt;&lt;DisplayText&gt;[24]&lt;/DisplayText&gt;&lt;record&gt;&lt;rec-number&gt;385&lt;/rec-number&gt;&lt;foreign-keys&gt;&lt;key app="EN" db-id="9z2t9av26xzf2yew5tv5wsvd55zdwzx0t5rr" timestamp="1607025419"&gt;385&lt;/key&gt;&lt;/foreign-keys&gt;&lt;ref-type name="Web Page"&gt;12&lt;/ref-type&gt;&lt;contributors&gt;&lt;authors&gt;&lt;author&gt;Centers for Medicare and Medicaid Services (CMS),&lt;/author&gt;&lt;/authors&gt;&lt;/contributors&gt;&lt;titles&gt;&lt;title&gt;Medicare Hospital Outpatient Prospective Payment System Addendum A, April 2020 file.&lt;/title&gt;&lt;/titles&gt;&lt;volume&gt;2020&lt;/volume&gt;&lt;number&gt;July 28&lt;/number&gt;&lt;dates&gt;&lt;year&gt;2020&lt;/year&gt;&lt;/dates&gt;&lt;urls&gt;&lt;related-urls&gt;&lt;url&gt;https://www.cms.gov/Medicare/Medicare-Fee-For-Service-Payment/HospitalOutpatientPPS/Addendum-A-and-Addendum-B-Updates&lt;/url&gt;&lt;/related-urls&gt;&lt;/urls&gt;&lt;/record&gt;&lt;/Cite&gt;&lt;/EndNote&gt;</w:instrText>
      </w:r>
      <w:r w:rsidR="00BC6BD2">
        <w:rPr>
          <w:color w:val="000000"/>
        </w:rPr>
        <w:fldChar w:fldCharType="separate"/>
      </w:r>
      <w:r w:rsidR="004838A0">
        <w:rPr>
          <w:noProof/>
          <w:color w:val="000000"/>
        </w:rPr>
        <w:t>[</w:t>
      </w:r>
      <w:hyperlink w:anchor="_ENREF_24" w:tooltip="Centers for Medicare and Medicaid Services (CMS), 2020 #385" w:history="1">
        <w:r w:rsidR="00C20B73">
          <w:rPr>
            <w:noProof/>
            <w:color w:val="000000"/>
          </w:rPr>
          <w:t>24</w:t>
        </w:r>
      </w:hyperlink>
      <w:r w:rsidR="004838A0">
        <w:rPr>
          <w:noProof/>
          <w:color w:val="000000"/>
        </w:rPr>
        <w:t>]</w:t>
      </w:r>
      <w:r w:rsidR="00BC6BD2">
        <w:rPr>
          <w:color w:val="000000"/>
        </w:rPr>
        <w:fldChar w:fldCharType="end"/>
      </w:r>
      <w:r>
        <w:rPr>
          <w:color w:val="000000"/>
        </w:rPr>
        <w:t xml:space="preserve"> </w:t>
      </w:r>
    </w:p>
    <w:p w14:paraId="1F3B8790" w14:textId="0BD8C373" w:rsidR="00087C39" w:rsidRDefault="00A83F45" w:rsidP="00087C39">
      <w:pPr>
        <w:pBdr>
          <w:top w:val="nil"/>
          <w:left w:val="nil"/>
          <w:bottom w:val="nil"/>
          <w:right w:val="nil"/>
          <w:between w:val="nil"/>
        </w:pBdr>
        <w:spacing w:line="480" w:lineRule="auto"/>
        <w:ind w:firstLine="720"/>
        <w:rPr>
          <w:color w:val="000000"/>
        </w:rPr>
      </w:pPr>
      <w:r>
        <w:rPr>
          <w:color w:val="000000"/>
        </w:rPr>
        <w:t>Analyses were performed using SAS statistical software</w:t>
      </w:r>
      <w:r w:rsidR="00FB52FB">
        <w:rPr>
          <w:color w:val="000000"/>
        </w:rPr>
        <w:t xml:space="preserve"> version 9.2</w:t>
      </w:r>
      <w:r>
        <w:rPr>
          <w:color w:val="000000"/>
        </w:rPr>
        <w:t xml:space="preserve"> (</w:t>
      </w:r>
      <w:r w:rsidR="006C6795" w:rsidRPr="006C6795">
        <w:rPr>
          <w:color w:val="000000"/>
        </w:rPr>
        <w:t>SAS Institute Inc.</w:t>
      </w:r>
      <w:r w:rsidR="00E90B6E">
        <w:rPr>
          <w:color w:val="000000"/>
        </w:rPr>
        <w:t>,</w:t>
      </w:r>
      <w:r w:rsidR="006C6795" w:rsidRPr="006C6795">
        <w:rPr>
          <w:color w:val="000000"/>
        </w:rPr>
        <w:t xml:space="preserve"> Cary, North Carolina, U.S.</w:t>
      </w:r>
      <w:r>
        <w:rPr>
          <w:color w:val="000000"/>
        </w:rPr>
        <w:t>)</w:t>
      </w:r>
      <w:r w:rsidR="004B7665" w:rsidRPr="004B7665">
        <w:rPr>
          <w:iCs/>
        </w:rPr>
        <w:t xml:space="preserve"> </w:t>
      </w:r>
      <w:r w:rsidR="004B7665">
        <w:rPr>
          <w:iCs/>
        </w:rPr>
        <w:t>using paired t-tests with P &lt; 0.05 considered significant.</w:t>
      </w:r>
      <w:r w:rsidR="00F66AB8">
        <w:rPr>
          <w:iCs/>
        </w:rPr>
        <w:t xml:space="preserve"> </w:t>
      </w:r>
      <w:r w:rsidR="00F66AB8">
        <w:rPr>
          <w:color w:val="000000"/>
        </w:rPr>
        <w:t xml:space="preserve">Given the </w:t>
      </w:r>
      <w:r w:rsidR="00F66AB8">
        <w:rPr>
          <w:color w:val="000000"/>
        </w:rPr>
        <w:lastRenderedPageBreak/>
        <w:t xml:space="preserve">multiple tests conducted across the multiple HCRU categories, the false discovery rate </w:t>
      </w:r>
      <w:r w:rsidR="00E761A1">
        <w:rPr>
          <w:color w:val="000000"/>
        </w:rPr>
        <w:t xml:space="preserve">(FDR) </w:t>
      </w:r>
      <w:r w:rsidR="00F66AB8">
        <w:rPr>
          <w:color w:val="000000"/>
        </w:rPr>
        <w:t>was used to assess statistical significance at alpha of 0.05 for hospital facility encounters and clinician services.</w:t>
      </w:r>
    </w:p>
    <w:p w14:paraId="1F6D0F23" w14:textId="411BDAD4" w:rsidR="00683C40" w:rsidRPr="00087C39" w:rsidRDefault="00683C40" w:rsidP="00087C39">
      <w:pPr>
        <w:spacing w:line="480" w:lineRule="auto"/>
        <w:ind w:firstLine="720"/>
        <w:rPr>
          <w:color w:val="000000"/>
        </w:rPr>
      </w:pPr>
    </w:p>
    <w:p w14:paraId="3F96046D" w14:textId="1C811771" w:rsidR="00C53979" w:rsidRDefault="001559EB" w:rsidP="00026814">
      <w:pPr>
        <w:keepNext/>
        <w:spacing w:line="480" w:lineRule="auto"/>
        <w:rPr>
          <w:b/>
        </w:rPr>
      </w:pPr>
      <w:r>
        <w:rPr>
          <w:b/>
        </w:rPr>
        <w:t>Results</w:t>
      </w:r>
    </w:p>
    <w:p w14:paraId="64F9E170" w14:textId="6A102D43" w:rsidR="00F66AB8" w:rsidRDefault="00F66AB8" w:rsidP="00F66AB8">
      <w:pPr>
        <w:keepNext/>
        <w:spacing w:after="120" w:line="480" w:lineRule="auto"/>
        <w:ind w:firstLine="720"/>
        <w:rPr>
          <w:color w:val="000000"/>
        </w:rPr>
      </w:pPr>
      <w:r>
        <w:rPr>
          <w:bCs/>
        </w:rPr>
        <w:t xml:space="preserve">There were some differences in the demographic and clinical characteristics between the reSET-O cohort (N= </w:t>
      </w:r>
      <w:r w:rsidRPr="002541D9">
        <w:rPr>
          <w:color w:val="000000"/>
        </w:rPr>
        <w:t>901</w:t>
      </w:r>
      <w:r>
        <w:rPr>
          <w:color w:val="000000"/>
        </w:rPr>
        <w:t xml:space="preserve">) and the control cohort (N=978) (Table 1). The reSET-O patients were slightly younger (37.9 vs 39.2; </w:t>
      </w:r>
      <w:r w:rsidRPr="00710A3F">
        <w:rPr>
          <w:i/>
          <w:color w:val="000000"/>
        </w:rPr>
        <w:t>P</w:t>
      </w:r>
      <w:r>
        <w:rPr>
          <w:color w:val="000000"/>
        </w:rPr>
        <w:t xml:space="preserve">=0.004) with a greater percentage of females (62.4% vs 55.1%; </w:t>
      </w:r>
      <w:r w:rsidRPr="00710A3F">
        <w:rPr>
          <w:i/>
          <w:color w:val="000000"/>
        </w:rPr>
        <w:t>P</w:t>
      </w:r>
      <w:r>
        <w:rPr>
          <w:color w:val="000000"/>
        </w:rPr>
        <w:t xml:space="preserve">=0.001) and greater percentage of Medicaid patients (73.9% vs. 65.4%; </w:t>
      </w:r>
      <w:r w:rsidRPr="00750035">
        <w:rPr>
          <w:i/>
          <w:color w:val="000000"/>
        </w:rPr>
        <w:t>P</w:t>
      </w:r>
      <w:r>
        <w:rPr>
          <w:color w:val="000000"/>
        </w:rPr>
        <w:t>=0.001). There was no difference in the mean Charlson comorbidity score (</w:t>
      </w:r>
      <w:r w:rsidRPr="00750035">
        <w:rPr>
          <w:i/>
          <w:color w:val="000000"/>
        </w:rPr>
        <w:t>P</w:t>
      </w:r>
      <w:r>
        <w:rPr>
          <w:color w:val="000000"/>
        </w:rPr>
        <w:t>=0.457) or the percentage of patients with a mental health disorder (</w:t>
      </w:r>
      <w:r w:rsidRPr="00710A3F">
        <w:rPr>
          <w:i/>
          <w:color w:val="000000"/>
        </w:rPr>
        <w:t>P</w:t>
      </w:r>
      <w:r>
        <w:rPr>
          <w:color w:val="000000"/>
        </w:rPr>
        <w:t>=0.556) or a substance use disorder (</w:t>
      </w:r>
      <w:r w:rsidRPr="00B617C2">
        <w:rPr>
          <w:i/>
          <w:color w:val="000000"/>
        </w:rPr>
        <w:t>P</w:t>
      </w:r>
      <w:r>
        <w:rPr>
          <w:color w:val="000000"/>
        </w:rPr>
        <w:t>=0.368). There was also no difference in the percentage of patients with at least one buprenorphine prescription in the pre-index period (</w:t>
      </w:r>
      <w:r w:rsidRPr="00750035">
        <w:rPr>
          <w:i/>
          <w:color w:val="000000"/>
        </w:rPr>
        <w:t>P</w:t>
      </w:r>
      <w:r>
        <w:rPr>
          <w:color w:val="000000"/>
        </w:rPr>
        <w:t>=0.133)</w:t>
      </w:r>
      <w:r w:rsidR="00CB4A7C">
        <w:rPr>
          <w:color w:val="000000"/>
        </w:rPr>
        <w:t>, and</w:t>
      </w:r>
      <w:r w:rsidR="008E392A">
        <w:rPr>
          <w:color w:val="000000"/>
        </w:rPr>
        <w:t xml:space="preserve"> </w:t>
      </w:r>
      <w:r w:rsidR="00CB4A7C">
        <w:rPr>
          <w:color w:val="000000"/>
        </w:rPr>
        <w:t>p</w:t>
      </w:r>
      <w:r w:rsidR="008E392A">
        <w:rPr>
          <w:color w:val="000000"/>
        </w:rPr>
        <w:t xml:space="preserve">re-index </w:t>
      </w:r>
      <w:r w:rsidR="00CB4A7C">
        <w:rPr>
          <w:color w:val="000000"/>
        </w:rPr>
        <w:t>MPR</w:t>
      </w:r>
      <w:r w:rsidR="008E392A">
        <w:rPr>
          <w:color w:val="000000"/>
        </w:rPr>
        <w:t xml:space="preserve"> </w:t>
      </w:r>
      <w:r w:rsidR="002D5024">
        <w:rPr>
          <w:color w:val="000000"/>
        </w:rPr>
        <w:t xml:space="preserve">was similar in both cohorts </w:t>
      </w:r>
      <w:r w:rsidR="008E392A">
        <w:rPr>
          <w:color w:val="000000"/>
        </w:rPr>
        <w:t>(</w:t>
      </w:r>
      <w:r w:rsidR="002D5024">
        <w:rPr>
          <w:color w:val="000000"/>
        </w:rPr>
        <w:t xml:space="preserve">reSET-O: 0.650; Controls: 0.632; </w:t>
      </w:r>
      <w:r w:rsidR="008E392A" w:rsidRPr="00B617C2">
        <w:rPr>
          <w:i/>
          <w:color w:val="000000"/>
        </w:rPr>
        <w:t>P</w:t>
      </w:r>
      <w:r w:rsidR="008E392A">
        <w:rPr>
          <w:color w:val="000000"/>
        </w:rPr>
        <w:t>=0.</w:t>
      </w:r>
      <w:r w:rsidR="002D5024">
        <w:rPr>
          <w:color w:val="000000"/>
        </w:rPr>
        <w:t>345</w:t>
      </w:r>
      <w:r w:rsidR="008E392A">
        <w:rPr>
          <w:color w:val="000000"/>
        </w:rPr>
        <w:t>)</w:t>
      </w:r>
      <w:r w:rsidR="002D5024">
        <w:rPr>
          <w:color w:val="000000"/>
        </w:rPr>
        <w:t>.</w:t>
      </w:r>
      <w:r w:rsidR="008E392A">
        <w:rPr>
          <w:color w:val="000000"/>
        </w:rPr>
        <w:t xml:space="preserve"> </w:t>
      </w:r>
    </w:p>
    <w:p w14:paraId="381DD476" w14:textId="710A2825" w:rsidR="00582F66" w:rsidRDefault="00804302" w:rsidP="00A26329">
      <w:pPr>
        <w:widowControl w:val="0"/>
        <w:spacing w:line="480" w:lineRule="auto"/>
        <w:ind w:firstLine="720"/>
      </w:pPr>
      <w:r>
        <w:t xml:space="preserve">Table </w:t>
      </w:r>
      <w:r w:rsidR="00C760BE">
        <w:t>2</w:t>
      </w:r>
      <w:r>
        <w:t xml:space="preserve"> show</w:t>
      </w:r>
      <w:r w:rsidR="00A7496A">
        <w:t>s</w:t>
      </w:r>
      <w:r>
        <w:t xml:space="preserve"> differences </w:t>
      </w:r>
      <w:r w:rsidR="009D3A90">
        <w:t xml:space="preserve">in hospital facility encounters </w:t>
      </w:r>
      <w:r>
        <w:t xml:space="preserve">between the reSET-O and control cohorts. </w:t>
      </w:r>
      <w:r w:rsidR="00A26329">
        <w:t xml:space="preserve">In the 12-month post-index period, </w:t>
      </w:r>
      <w:r w:rsidR="009B461E">
        <w:t xml:space="preserve">inpatient stays showed the largest difference </w:t>
      </w:r>
      <w:r w:rsidR="009D3A90">
        <w:t xml:space="preserve">in number of events </w:t>
      </w:r>
      <w:r w:rsidR="009B461E">
        <w:t>versus controls</w:t>
      </w:r>
      <w:r w:rsidR="00BF3196">
        <w:t xml:space="preserve"> with a 28% lower incidence (</w:t>
      </w:r>
      <w:r w:rsidR="009B461E">
        <w:t>IRR: 0.72; 95% CI: 0.55-0.9</w:t>
      </w:r>
      <w:r w:rsidR="00791E53">
        <w:t>6</w:t>
      </w:r>
      <w:r w:rsidR="009B461E">
        <w:t xml:space="preserve">; </w:t>
      </w:r>
      <w:r w:rsidR="009B461E">
        <w:rPr>
          <w:i/>
        </w:rPr>
        <w:t>P</w:t>
      </w:r>
      <w:r w:rsidR="009B461E">
        <w:t>=0.02</w:t>
      </w:r>
      <w:r w:rsidR="00791E53">
        <w:t>6</w:t>
      </w:r>
      <w:r w:rsidR="009B461E">
        <w:t>; 49 fewer/1,000 patients)</w:t>
      </w:r>
      <w:r w:rsidR="00BF3196">
        <w:t xml:space="preserve">, and included a </w:t>
      </w:r>
      <w:r w:rsidR="00791E53">
        <w:t>30</w:t>
      </w:r>
      <w:r w:rsidR="00BF3196">
        <w:t xml:space="preserve">% decrease in </w:t>
      </w:r>
      <w:r w:rsidR="00BF3196" w:rsidRPr="009514C3">
        <w:t>ICU</w:t>
      </w:r>
      <w:r w:rsidR="00BF3196">
        <w:t xml:space="preserve"> </w:t>
      </w:r>
      <w:r w:rsidR="00BF3196" w:rsidRPr="004C7BBB">
        <w:t>stays (</w:t>
      </w:r>
      <w:r w:rsidR="003D1FB4">
        <w:t>11</w:t>
      </w:r>
      <w:r w:rsidR="00BF3196" w:rsidRPr="00C76B97">
        <w:t xml:space="preserve"> fewer events</w:t>
      </w:r>
      <w:r w:rsidR="003D1FB4">
        <w:t>/1,000</w:t>
      </w:r>
      <w:r w:rsidR="00BF3196" w:rsidRPr="004C7BBB">
        <w:t>), and a</w:t>
      </w:r>
      <w:r w:rsidR="00A521E1">
        <w:t xml:space="preserve"> </w:t>
      </w:r>
      <w:r w:rsidR="003D1FB4">
        <w:t>5</w:t>
      </w:r>
      <w:r w:rsidR="00791E53">
        <w:t>6</w:t>
      </w:r>
      <w:r w:rsidR="00BF3196" w:rsidRPr="004C7BBB">
        <w:t>% decrease in hospital readmissions (</w:t>
      </w:r>
      <w:r w:rsidR="00BF3196" w:rsidRPr="00C76B97">
        <w:t>1</w:t>
      </w:r>
      <w:r w:rsidR="003D1FB4">
        <w:t>5</w:t>
      </w:r>
      <w:r w:rsidR="00BF3196" w:rsidRPr="00C76B97">
        <w:t xml:space="preserve"> fewer events</w:t>
      </w:r>
      <w:r w:rsidR="003D1FB4">
        <w:t>/1,000</w:t>
      </w:r>
      <w:r w:rsidR="00BF3196" w:rsidRPr="004C7BBB">
        <w:t>)</w:t>
      </w:r>
      <w:r w:rsidR="00BF3196">
        <w:t xml:space="preserve">. </w:t>
      </w:r>
      <w:r w:rsidR="003D1FB4">
        <w:t>ED visits showed the second-largest difference versus controls</w:t>
      </w:r>
      <w:r w:rsidR="00B17708">
        <w:t>, a</w:t>
      </w:r>
      <w:r w:rsidR="00A521E1">
        <w:t xml:space="preserve">n </w:t>
      </w:r>
      <w:r w:rsidR="00791E53">
        <w:t>7</w:t>
      </w:r>
      <w:r w:rsidR="00B17708">
        <w:t>% lower incidence (IRR: 0.9</w:t>
      </w:r>
      <w:r w:rsidR="00791E53">
        <w:t>3</w:t>
      </w:r>
      <w:r w:rsidR="00B17708">
        <w:t>; 95% CI: 0.79-1.0</w:t>
      </w:r>
      <w:r w:rsidR="00791E53">
        <w:t>9</w:t>
      </w:r>
      <w:r w:rsidR="00B17708">
        <w:t xml:space="preserve">; </w:t>
      </w:r>
      <w:r w:rsidR="00B17708">
        <w:rPr>
          <w:i/>
        </w:rPr>
        <w:t>P</w:t>
      </w:r>
      <w:r w:rsidR="00B17708">
        <w:t>=0.3</w:t>
      </w:r>
      <w:r w:rsidR="00791E53">
        <w:t>86</w:t>
      </w:r>
      <w:r w:rsidR="00B17708">
        <w:t>; 45 fewer</w:t>
      </w:r>
      <w:r w:rsidR="004F0893">
        <w:t xml:space="preserve"> events</w:t>
      </w:r>
      <w:r w:rsidR="00B17708">
        <w:t>/1,000 patients)</w:t>
      </w:r>
      <w:r w:rsidR="001D3519">
        <w:t>. T</w:t>
      </w:r>
      <w:r w:rsidR="00A26329">
        <w:t xml:space="preserve">he incidence of overall </w:t>
      </w:r>
      <w:r w:rsidR="00791E53">
        <w:t xml:space="preserve">unique </w:t>
      </w:r>
      <w:r w:rsidR="00A26329">
        <w:t>hospital facility encounters was 1</w:t>
      </w:r>
      <w:r w:rsidR="00791E53">
        <w:t>2</w:t>
      </w:r>
      <w:r w:rsidR="00A26329">
        <w:t>% lower in the reSET-O cohort than in the control cohort (IRR: 0.8</w:t>
      </w:r>
      <w:r w:rsidR="00791E53">
        <w:t>8</w:t>
      </w:r>
      <w:r w:rsidR="00A26329">
        <w:t>; 95% CI: 0.75-1.0</w:t>
      </w:r>
      <w:r w:rsidR="00791E53">
        <w:t>3</w:t>
      </w:r>
      <w:r w:rsidR="00A26329">
        <w:t xml:space="preserve">; </w:t>
      </w:r>
      <w:r w:rsidR="00A26329">
        <w:rPr>
          <w:i/>
        </w:rPr>
        <w:t>P=</w:t>
      </w:r>
      <w:r w:rsidR="00A26329">
        <w:t>0.</w:t>
      </w:r>
      <w:r w:rsidR="00791E53">
        <w:t>105</w:t>
      </w:r>
      <w:r w:rsidR="00A26329">
        <w:t>)</w:t>
      </w:r>
      <w:r>
        <w:t>.</w:t>
      </w:r>
      <w:r w:rsidR="00A26329">
        <w:t xml:space="preserve"> </w:t>
      </w:r>
      <w:r w:rsidR="009F6057">
        <w:t xml:space="preserve">Partial hospitalizations were reduced by 65 events/1,000, although the </w:t>
      </w:r>
      <w:r w:rsidR="007A36AB" w:rsidRPr="007A36AB">
        <w:t xml:space="preserve">binomial </w:t>
      </w:r>
      <w:r w:rsidR="009F6057">
        <w:t xml:space="preserve">model could not </w:t>
      </w:r>
      <w:r w:rsidR="007A36AB">
        <w:t>be fit d</w:t>
      </w:r>
      <w:r w:rsidR="007A36AB" w:rsidRPr="007A36AB">
        <w:t xml:space="preserve">ue to the small number of </w:t>
      </w:r>
      <w:r w:rsidR="004F0893">
        <w:t>events</w:t>
      </w:r>
      <w:r w:rsidR="007A36AB" w:rsidRPr="007A36AB">
        <w:t xml:space="preserve">, </w:t>
      </w:r>
      <w:r w:rsidR="009F6057">
        <w:lastRenderedPageBreak/>
        <w:t>and</w:t>
      </w:r>
      <w:r w:rsidR="00AD0AF5">
        <w:t xml:space="preserve"> </w:t>
      </w:r>
      <w:r w:rsidR="00B17708" w:rsidRPr="0085122F">
        <w:t>HOPD visit</w:t>
      </w:r>
      <w:r w:rsidR="009F6057" w:rsidRPr="009514C3">
        <w:t xml:space="preserve">s had </w:t>
      </w:r>
      <w:r w:rsidR="007A36AB" w:rsidRPr="009514C3">
        <w:t xml:space="preserve">one additional event per 1,000 patients representing a </w:t>
      </w:r>
      <w:r w:rsidR="00791E53">
        <w:t>6</w:t>
      </w:r>
      <w:r w:rsidR="007A36AB" w:rsidRPr="009514C3">
        <w:t>% increase</w:t>
      </w:r>
      <w:r w:rsidR="00B17708" w:rsidRPr="0085122F">
        <w:t xml:space="preserve">. </w:t>
      </w:r>
      <w:r w:rsidR="00EE7DD1">
        <w:t xml:space="preserve">After </w:t>
      </w:r>
      <w:r w:rsidR="00E761A1">
        <w:t>FDR</w:t>
      </w:r>
      <w:r w:rsidR="00EE7DD1">
        <w:t xml:space="preserve"> adjustment, inpatient stays and hospital readmissions were no longer statistically significant when compared to the FDR critical </w:t>
      </w:r>
      <w:r w:rsidR="00EE7DD1" w:rsidRPr="00586346">
        <w:t>value</w:t>
      </w:r>
      <w:r w:rsidR="00EE7DD1">
        <w:t>s</w:t>
      </w:r>
      <w:r w:rsidR="00EE7DD1" w:rsidRPr="00586346">
        <w:t xml:space="preserve"> of 0.008 and 0.017, respectively.</w:t>
      </w:r>
    </w:p>
    <w:p w14:paraId="73FC16DC" w14:textId="23EC5697" w:rsidR="00A26329" w:rsidRDefault="00AA6340" w:rsidP="000B4250">
      <w:pPr>
        <w:widowControl w:val="0"/>
        <w:spacing w:line="480" w:lineRule="auto"/>
        <w:ind w:firstLine="720"/>
      </w:pPr>
      <w:r w:rsidRPr="009514C3">
        <w:t>T</w:t>
      </w:r>
      <w:r w:rsidR="00AD2C7B" w:rsidRPr="00D76C21">
        <w:t xml:space="preserve">he </w:t>
      </w:r>
      <w:r w:rsidRPr="009514C3">
        <w:t xml:space="preserve">clinician services </w:t>
      </w:r>
      <w:r w:rsidR="00AD2C7B" w:rsidRPr="00D76C21">
        <w:t xml:space="preserve">categories with the largest </w:t>
      </w:r>
      <w:r w:rsidR="00D61E6F" w:rsidRPr="009514C3">
        <w:t xml:space="preserve">difference </w:t>
      </w:r>
      <w:r w:rsidR="001B7DC5">
        <w:t xml:space="preserve">in event counts </w:t>
      </w:r>
      <w:r w:rsidR="00D61E6F" w:rsidRPr="009514C3">
        <w:t>between reSET-O and controls</w:t>
      </w:r>
      <w:r w:rsidR="00AD2C7B" w:rsidRPr="00D76C21">
        <w:t xml:space="preserve"> were: E&amp;M case management (</w:t>
      </w:r>
      <w:r w:rsidR="00D61E6F" w:rsidRPr="009514C3">
        <w:t>106</w:t>
      </w:r>
      <w:r w:rsidR="00AD2C7B" w:rsidRPr="00D76C21">
        <w:t xml:space="preserve">% increase; </w:t>
      </w:r>
      <w:r w:rsidR="00D61E6F" w:rsidRPr="009514C3">
        <w:t>953</w:t>
      </w:r>
      <w:r w:rsidR="00AD2C7B" w:rsidRPr="00D76C21">
        <w:t xml:space="preserve"> additional </w:t>
      </w:r>
      <w:r w:rsidR="004F0893">
        <w:t>events</w:t>
      </w:r>
      <w:r w:rsidR="00AD2C7B" w:rsidRPr="00D76C21">
        <w:t xml:space="preserve">, IRR </w:t>
      </w:r>
      <w:r w:rsidR="00D61E6F" w:rsidRPr="009514C3">
        <w:t>2</w:t>
      </w:r>
      <w:r w:rsidR="00AD2C7B" w:rsidRPr="00D76C21">
        <w:t>.</w:t>
      </w:r>
      <w:r w:rsidR="00D61E6F" w:rsidRPr="009514C3">
        <w:t>06</w:t>
      </w:r>
      <w:r w:rsidR="00AD2C7B" w:rsidRPr="00D76C21">
        <w:t>; 95% CI: 1.</w:t>
      </w:r>
      <w:r w:rsidR="00D76C21" w:rsidRPr="009514C3">
        <w:t>57</w:t>
      </w:r>
      <w:r w:rsidR="00AD2C7B" w:rsidRPr="00D76C21">
        <w:t>-2.7</w:t>
      </w:r>
      <w:r w:rsidR="00D76C21" w:rsidRPr="009514C3">
        <w:t>1</w:t>
      </w:r>
      <w:r w:rsidR="00AD2C7B" w:rsidRPr="00D76C21">
        <w:t>;</w:t>
      </w:r>
      <w:r w:rsidR="00AD2C7B" w:rsidRPr="00D76C21">
        <w:rPr>
          <w:i/>
          <w:iCs/>
        </w:rPr>
        <w:t xml:space="preserve"> P</w:t>
      </w:r>
      <w:r w:rsidR="00D76C21" w:rsidRPr="009514C3">
        <w:t>&lt;</w:t>
      </w:r>
      <w:r w:rsidR="00AD2C7B" w:rsidRPr="00D76C21">
        <w:t xml:space="preserve">0.001), </w:t>
      </w:r>
      <w:r w:rsidR="00E20479">
        <w:t>p</w:t>
      </w:r>
      <w:r w:rsidR="00D76C21" w:rsidRPr="009514C3">
        <w:t xml:space="preserve">athology and laboratory: drug assay (19% reduction; 944 fewer </w:t>
      </w:r>
      <w:r w:rsidR="004F0893">
        <w:t>events</w:t>
      </w:r>
      <w:r w:rsidR="00D76C21" w:rsidRPr="009514C3">
        <w:t>; IRR 0.81; 95% CI: 0.72-0.92;</w:t>
      </w:r>
      <w:r w:rsidR="00D76C21" w:rsidRPr="009514C3">
        <w:rPr>
          <w:i/>
          <w:iCs/>
        </w:rPr>
        <w:t xml:space="preserve"> P</w:t>
      </w:r>
      <w:r w:rsidR="00DA1AEA">
        <w:t>=</w:t>
      </w:r>
      <w:r w:rsidR="00D76C21" w:rsidRPr="009514C3">
        <w:t xml:space="preserve">0.001), </w:t>
      </w:r>
      <w:r w:rsidR="00E20479">
        <w:t>p</w:t>
      </w:r>
      <w:r w:rsidR="00D76C21" w:rsidRPr="009514C3">
        <w:t xml:space="preserve">sychiatry (23% increase; 789 additional </w:t>
      </w:r>
      <w:r w:rsidR="004F0893">
        <w:t>events</w:t>
      </w:r>
      <w:r w:rsidR="00D76C21" w:rsidRPr="009514C3">
        <w:t>; IRR 1.23; 95% CI: 1.02-1.48;</w:t>
      </w:r>
      <w:r w:rsidR="00D76C21" w:rsidRPr="009514C3">
        <w:rPr>
          <w:i/>
          <w:iCs/>
        </w:rPr>
        <w:t xml:space="preserve"> P</w:t>
      </w:r>
      <w:r w:rsidR="00DA1AEA" w:rsidRPr="009514C3">
        <w:t>=</w:t>
      </w:r>
      <w:r w:rsidR="00D76C21" w:rsidRPr="009514C3">
        <w:t>0.0</w:t>
      </w:r>
      <w:r w:rsidR="00DA1AEA" w:rsidRPr="009514C3">
        <w:t>29</w:t>
      </w:r>
      <w:r w:rsidR="00D76C21" w:rsidRPr="009514C3">
        <w:t xml:space="preserve">); </w:t>
      </w:r>
      <w:r w:rsidR="00AD2C7B" w:rsidRPr="00DA1AEA">
        <w:t>E&amp;M outpatient visits (</w:t>
      </w:r>
      <w:r w:rsidR="00DA1AEA" w:rsidRPr="009514C3">
        <w:t>5</w:t>
      </w:r>
      <w:r w:rsidR="00AD2C7B" w:rsidRPr="00DA1AEA">
        <w:t xml:space="preserve">% increase; </w:t>
      </w:r>
      <w:r w:rsidR="00DA1AEA" w:rsidRPr="009514C3">
        <w:t>710</w:t>
      </w:r>
      <w:r w:rsidR="00AD2C7B" w:rsidRPr="00DA1AEA">
        <w:t xml:space="preserve"> additional </w:t>
      </w:r>
      <w:r w:rsidR="004F0893">
        <w:t>events</w:t>
      </w:r>
      <w:r w:rsidR="00AD2C7B" w:rsidRPr="00DA1AEA">
        <w:t>; IRR 1.</w:t>
      </w:r>
      <w:r w:rsidR="00DA1AEA" w:rsidRPr="009514C3">
        <w:t>05</w:t>
      </w:r>
      <w:r w:rsidR="00AD2C7B" w:rsidRPr="00DA1AEA">
        <w:t xml:space="preserve">; 95% CI: </w:t>
      </w:r>
      <w:r w:rsidR="00DA1AEA" w:rsidRPr="009514C3">
        <w:t>0</w:t>
      </w:r>
      <w:r w:rsidR="00AD2C7B" w:rsidRPr="00DA1AEA">
        <w:t>.</w:t>
      </w:r>
      <w:r w:rsidR="00DA1AEA" w:rsidRPr="009514C3">
        <w:t>96</w:t>
      </w:r>
      <w:r w:rsidR="00AD2C7B" w:rsidRPr="00DA1AEA">
        <w:t>-1.</w:t>
      </w:r>
      <w:r w:rsidR="00DA1AEA" w:rsidRPr="009514C3">
        <w:t>14</w:t>
      </w:r>
      <w:r w:rsidR="00AD2C7B" w:rsidRPr="00DA1AEA">
        <w:t>;</w:t>
      </w:r>
      <w:r w:rsidR="00AD2C7B" w:rsidRPr="00DA1AEA">
        <w:rPr>
          <w:i/>
          <w:iCs/>
        </w:rPr>
        <w:t xml:space="preserve"> P</w:t>
      </w:r>
      <w:r w:rsidR="00DA1AEA" w:rsidRPr="009514C3">
        <w:t>=</w:t>
      </w:r>
      <w:r w:rsidR="00AD2C7B" w:rsidRPr="00DA1AEA">
        <w:t>0.</w:t>
      </w:r>
      <w:r w:rsidR="00DA1AEA" w:rsidRPr="009514C3">
        <w:t>327</w:t>
      </w:r>
      <w:r w:rsidR="00AD2C7B" w:rsidRPr="00B80132">
        <w:t xml:space="preserve">), </w:t>
      </w:r>
      <w:r w:rsidR="00B80132" w:rsidRPr="009514C3">
        <w:t xml:space="preserve">and </w:t>
      </w:r>
      <w:r w:rsidR="00E20479">
        <w:t>a</w:t>
      </w:r>
      <w:r w:rsidR="00B80132" w:rsidRPr="009514C3">
        <w:t xml:space="preserve">lcohol &amp; drug abuse: </w:t>
      </w:r>
      <w:r w:rsidR="00E20479">
        <w:t>s</w:t>
      </w:r>
      <w:r w:rsidR="00B80132" w:rsidRPr="009514C3">
        <w:t xml:space="preserve">elf-help/peer services </w:t>
      </w:r>
      <w:r w:rsidR="00B80132" w:rsidRPr="00B80132">
        <w:t>(</w:t>
      </w:r>
      <w:r w:rsidR="00B80132">
        <w:t>39</w:t>
      </w:r>
      <w:r w:rsidR="00B80132" w:rsidRPr="00DA1AEA">
        <w:t xml:space="preserve">% increase; </w:t>
      </w:r>
      <w:r w:rsidR="00B80132">
        <w:t>395</w:t>
      </w:r>
      <w:r w:rsidR="00B80132" w:rsidRPr="00DA1AEA">
        <w:t xml:space="preserve"> additional </w:t>
      </w:r>
      <w:r w:rsidR="004F0893">
        <w:t>events</w:t>
      </w:r>
      <w:r w:rsidR="00B80132" w:rsidRPr="00DA1AEA">
        <w:t>; IRR 1.</w:t>
      </w:r>
      <w:r w:rsidR="00B80132">
        <w:t>39</w:t>
      </w:r>
      <w:r w:rsidR="00B80132" w:rsidRPr="00DA1AEA">
        <w:t xml:space="preserve">; 95% CI: </w:t>
      </w:r>
      <w:r w:rsidR="00B80132" w:rsidRPr="00C76B97">
        <w:t>0</w:t>
      </w:r>
      <w:r w:rsidR="00B80132" w:rsidRPr="00DA1AEA">
        <w:t>.</w:t>
      </w:r>
      <w:r w:rsidR="00B80132" w:rsidRPr="00C76B97">
        <w:t>9</w:t>
      </w:r>
      <w:r w:rsidR="00B80132">
        <w:t>4</w:t>
      </w:r>
      <w:r w:rsidR="00B80132" w:rsidRPr="00DA1AEA">
        <w:t>-</w:t>
      </w:r>
      <w:r w:rsidR="00B80132">
        <w:t>2</w:t>
      </w:r>
      <w:r w:rsidR="00B80132" w:rsidRPr="00DA1AEA">
        <w:t>.</w:t>
      </w:r>
      <w:r w:rsidR="00B80132">
        <w:t>05</w:t>
      </w:r>
      <w:r w:rsidR="00B80132" w:rsidRPr="00DA1AEA">
        <w:t>;</w:t>
      </w:r>
      <w:r w:rsidR="00B80132" w:rsidRPr="00DA1AEA">
        <w:rPr>
          <w:i/>
          <w:iCs/>
        </w:rPr>
        <w:t xml:space="preserve"> P</w:t>
      </w:r>
      <w:r w:rsidR="00B80132" w:rsidRPr="00C76B97">
        <w:t>=</w:t>
      </w:r>
      <w:r w:rsidR="00B80132" w:rsidRPr="00DA1AEA">
        <w:t>0.</w:t>
      </w:r>
      <w:r w:rsidR="00B80132">
        <w:t>095</w:t>
      </w:r>
      <w:r w:rsidR="00B80132" w:rsidRPr="00DA1AEA">
        <w:t>)</w:t>
      </w:r>
      <w:r w:rsidR="00B80132">
        <w:t xml:space="preserve">.  </w:t>
      </w:r>
      <w:r w:rsidR="001B7DC5" w:rsidRPr="009514C3">
        <w:t xml:space="preserve">Among the </w:t>
      </w:r>
      <w:r w:rsidR="00AD2C7B" w:rsidRPr="000A0879">
        <w:t xml:space="preserve">next ten categories with the largest </w:t>
      </w:r>
      <w:r w:rsidR="00AA56D0" w:rsidRPr="009514C3">
        <w:t xml:space="preserve">difference in event counts only two were </w:t>
      </w:r>
      <w:r w:rsidR="00AD2C7B" w:rsidRPr="000A0879">
        <w:t>statistically significant</w:t>
      </w:r>
      <w:r w:rsidR="00AA56D0" w:rsidRPr="009514C3">
        <w:t xml:space="preserve"> (</w:t>
      </w:r>
      <w:r w:rsidR="000A0879" w:rsidRPr="009514C3">
        <w:t xml:space="preserve">E&amp;M </w:t>
      </w:r>
      <w:r w:rsidR="00E20479">
        <w:t>c</w:t>
      </w:r>
      <w:r w:rsidR="000A0879" w:rsidRPr="009514C3">
        <w:t xml:space="preserve">are </w:t>
      </w:r>
      <w:r w:rsidR="00E20479">
        <w:t>p</w:t>
      </w:r>
      <w:r w:rsidR="000A0879" w:rsidRPr="009514C3">
        <w:t xml:space="preserve">lan, and </w:t>
      </w:r>
      <w:r w:rsidR="00E20479">
        <w:t>s</w:t>
      </w:r>
      <w:r w:rsidR="000A0879" w:rsidRPr="009514C3">
        <w:t>urgery</w:t>
      </w:r>
      <w:r w:rsidR="00AA56D0" w:rsidRPr="009514C3">
        <w:t>), although all showed a large difference in events:</w:t>
      </w:r>
      <w:r w:rsidR="000A0879" w:rsidRPr="009514C3">
        <w:t xml:space="preserve"> E&amp;M </w:t>
      </w:r>
      <w:r w:rsidR="00E20479">
        <w:t>h</w:t>
      </w:r>
      <w:r w:rsidR="000A0879" w:rsidRPr="009514C3">
        <w:t xml:space="preserve">ospital </w:t>
      </w:r>
      <w:r w:rsidR="00E20479">
        <w:t>i</w:t>
      </w:r>
      <w:r w:rsidR="000A0879" w:rsidRPr="009514C3">
        <w:t xml:space="preserve">npatient </w:t>
      </w:r>
      <w:r w:rsidR="00E20479">
        <w:t>s</w:t>
      </w:r>
      <w:r w:rsidR="000A0879" w:rsidRPr="009514C3">
        <w:t xml:space="preserve">ervices (344 fewer events), </w:t>
      </w:r>
      <w:r w:rsidR="00E20479">
        <w:t>a</w:t>
      </w:r>
      <w:r w:rsidR="000A0879" w:rsidRPr="009514C3">
        <w:t xml:space="preserve">lcohol and drug abuse: assessment (332 additional events), </w:t>
      </w:r>
      <w:r w:rsidR="00E20479">
        <w:t>a</w:t>
      </w:r>
      <w:r w:rsidR="000A0879" w:rsidRPr="009514C3">
        <w:t xml:space="preserve">lcohol &amp; drug abuse: </w:t>
      </w:r>
      <w:r w:rsidR="00E20479">
        <w:t>c</w:t>
      </w:r>
      <w:r w:rsidR="000A0879" w:rsidRPr="009514C3">
        <w:t xml:space="preserve">risis intervention (314 additional </w:t>
      </w:r>
      <w:r w:rsidR="004F0893">
        <w:t>events</w:t>
      </w:r>
      <w:r w:rsidR="000A0879" w:rsidRPr="009514C3">
        <w:t>),</w:t>
      </w:r>
      <w:r w:rsidR="000A0879">
        <w:t xml:space="preserve"> E&amp;M care plan oversight (242 fewer events), </w:t>
      </w:r>
      <w:r w:rsidR="00E20479">
        <w:t>a</w:t>
      </w:r>
      <w:r w:rsidR="000A0879" w:rsidRPr="000A0879">
        <w:t xml:space="preserve">lcohol &amp; drug abuse: </w:t>
      </w:r>
      <w:r w:rsidR="00E20479">
        <w:t>d</w:t>
      </w:r>
      <w:r w:rsidR="000A0879" w:rsidRPr="000A0879">
        <w:t>etox, inpatient</w:t>
      </w:r>
      <w:r w:rsidR="00482EA2">
        <w:t xml:space="preserve"> (205 fewer events), </w:t>
      </w:r>
      <w:r w:rsidR="00E20479">
        <w:t>a</w:t>
      </w:r>
      <w:r w:rsidR="00373685" w:rsidRPr="00373685">
        <w:t xml:space="preserve">lcohol &amp; drug abuse: </w:t>
      </w:r>
      <w:r w:rsidR="00E20479">
        <w:t>b</w:t>
      </w:r>
      <w:r w:rsidR="00373685" w:rsidRPr="00373685">
        <w:t>ehavioral health, residential treatment program</w:t>
      </w:r>
      <w:r w:rsidR="00373685">
        <w:t xml:space="preserve"> (197 fewer </w:t>
      </w:r>
      <w:r w:rsidR="004F0893">
        <w:t>events</w:t>
      </w:r>
      <w:r w:rsidR="00373685">
        <w:t xml:space="preserve">), </w:t>
      </w:r>
      <w:r w:rsidR="00E20479">
        <w:t>s</w:t>
      </w:r>
      <w:r w:rsidR="00373685">
        <w:t xml:space="preserve">urgery (171 additional </w:t>
      </w:r>
      <w:r w:rsidR="004F0893">
        <w:t>events</w:t>
      </w:r>
      <w:r w:rsidR="00373685">
        <w:t xml:space="preserve">), </w:t>
      </w:r>
      <w:r w:rsidR="00373685" w:rsidRPr="00373685">
        <w:t>E&amp;M: </w:t>
      </w:r>
      <w:r w:rsidR="00E20479">
        <w:t>p</w:t>
      </w:r>
      <w:r w:rsidR="00373685" w:rsidRPr="00373685">
        <w:t>artial hospitalization services</w:t>
      </w:r>
      <w:r w:rsidR="00373685">
        <w:t xml:space="preserve"> (171 fewer </w:t>
      </w:r>
      <w:r w:rsidR="004F0893">
        <w:t>events</w:t>
      </w:r>
      <w:r w:rsidR="00373685">
        <w:t xml:space="preserve">), </w:t>
      </w:r>
      <w:r w:rsidR="00E20479">
        <w:t>p</w:t>
      </w:r>
      <w:r w:rsidR="00373685" w:rsidRPr="009514C3">
        <w:t xml:space="preserve">athology and laboratory: </w:t>
      </w:r>
      <w:r w:rsidR="00E20479">
        <w:t>d</w:t>
      </w:r>
      <w:r w:rsidR="00373685" w:rsidRPr="009514C3">
        <w:t xml:space="preserve">rug assay, before opioid </w:t>
      </w:r>
      <w:r w:rsidR="005004C1">
        <w:t>treatment</w:t>
      </w:r>
      <w:r w:rsidR="00373685" w:rsidRPr="009514C3">
        <w:t xml:space="preserve"> (161 additional </w:t>
      </w:r>
      <w:r w:rsidR="004F0893">
        <w:t>events</w:t>
      </w:r>
      <w:r w:rsidR="00373685" w:rsidRPr="009514C3">
        <w:t>),</w:t>
      </w:r>
      <w:r w:rsidR="0012783C" w:rsidRPr="0012783C">
        <w:t xml:space="preserve"> </w:t>
      </w:r>
      <w:r w:rsidR="00E20479">
        <w:t>p</w:t>
      </w:r>
      <w:r w:rsidR="0012783C" w:rsidRPr="009514C3">
        <w:t xml:space="preserve">athology and </w:t>
      </w:r>
      <w:r w:rsidR="00E20479">
        <w:t>l</w:t>
      </w:r>
      <w:r w:rsidR="0012783C" w:rsidRPr="009514C3">
        <w:t xml:space="preserve">aboratory: </w:t>
      </w:r>
      <w:r w:rsidR="00E20479">
        <w:t>o</w:t>
      </w:r>
      <w:r w:rsidR="0012783C" w:rsidRPr="009514C3">
        <w:t xml:space="preserve">ther (151 fewer </w:t>
      </w:r>
      <w:r w:rsidR="004F0893">
        <w:t>events</w:t>
      </w:r>
      <w:r w:rsidR="0012783C" w:rsidRPr="009514C3">
        <w:t>)</w:t>
      </w:r>
      <w:r w:rsidR="00AD2C7B" w:rsidRPr="0012783C">
        <w:t xml:space="preserve">. Overall there were </w:t>
      </w:r>
      <w:r w:rsidR="0012783C" w:rsidRPr="009514C3">
        <w:t>1</w:t>
      </w:r>
      <w:r w:rsidR="00AD2C7B" w:rsidRPr="0012783C">
        <w:t>,</w:t>
      </w:r>
      <w:r w:rsidR="0012783C" w:rsidRPr="009514C3">
        <w:t>391</w:t>
      </w:r>
      <w:r w:rsidR="00AD2C7B" w:rsidRPr="0012783C">
        <w:t xml:space="preserve"> additional clinician services </w:t>
      </w:r>
      <w:r w:rsidR="004F0893">
        <w:t>events</w:t>
      </w:r>
      <w:r w:rsidR="00AD2C7B" w:rsidRPr="0012783C">
        <w:t xml:space="preserve">. </w:t>
      </w:r>
      <w:r w:rsidR="00E20479">
        <w:t>D</w:t>
      </w:r>
      <w:r w:rsidR="00AD2C7B" w:rsidRPr="00FA61C4">
        <w:t xml:space="preserve">ata </w:t>
      </w:r>
      <w:r w:rsidR="00AD2C7B" w:rsidRPr="004D2372">
        <w:t xml:space="preserve">for </w:t>
      </w:r>
      <w:r w:rsidR="00AD2C7B" w:rsidRPr="009514C3">
        <w:t>clinician services</w:t>
      </w:r>
      <w:r w:rsidR="00AD2C7B" w:rsidRPr="00FA61C4">
        <w:t xml:space="preserve"> </w:t>
      </w:r>
      <w:r w:rsidR="00AD2C7B" w:rsidRPr="004D2372">
        <w:t xml:space="preserve">categories evaluated is available in </w:t>
      </w:r>
      <w:r w:rsidR="008A5F09">
        <w:t xml:space="preserve">the </w:t>
      </w:r>
      <w:r w:rsidR="00AD2C7B" w:rsidRPr="004D2372">
        <w:t xml:space="preserve">supplementary </w:t>
      </w:r>
      <w:r w:rsidR="008A5F09">
        <w:t>material</w:t>
      </w:r>
      <w:r w:rsidR="00AD2C7B" w:rsidRPr="00FA61C4">
        <w:t>.</w:t>
      </w:r>
      <w:r w:rsidR="00FA61C4">
        <w:t xml:space="preserve"> </w:t>
      </w:r>
      <w:r w:rsidR="004B7F1B">
        <w:t xml:space="preserve"> </w:t>
      </w:r>
    </w:p>
    <w:p w14:paraId="6CFA0FE5" w14:textId="46F4B612" w:rsidR="002078E7" w:rsidRDefault="00FE1FDD" w:rsidP="00F41FC0">
      <w:pPr>
        <w:widowControl w:val="0"/>
        <w:spacing w:line="480" w:lineRule="auto"/>
        <w:ind w:firstLine="720"/>
      </w:pPr>
      <w:r>
        <w:t>F</w:t>
      </w:r>
      <w:r w:rsidR="00F41FC0" w:rsidRPr="009F7AAD">
        <w:t>acility</w:t>
      </w:r>
      <w:r w:rsidR="0085122F" w:rsidRPr="009514C3">
        <w:t>-related</w:t>
      </w:r>
      <w:r w:rsidR="00F41FC0" w:rsidRPr="009F7AAD">
        <w:t xml:space="preserve"> </w:t>
      </w:r>
      <w:r w:rsidR="0085122F" w:rsidRPr="009514C3">
        <w:t xml:space="preserve">costs were reduced by </w:t>
      </w:r>
      <w:r w:rsidR="00F41FC0" w:rsidRPr="009F7AAD">
        <w:t>-$</w:t>
      </w:r>
      <w:r w:rsidR="004F34DC">
        <w:t>2</w:t>
      </w:r>
      <w:r w:rsidR="00F41FC0" w:rsidRPr="009F7AAD">
        <w:t>,</w:t>
      </w:r>
      <w:r w:rsidR="004F34DC">
        <w:t>718</w:t>
      </w:r>
      <w:r w:rsidR="00F41FC0" w:rsidRPr="009F7AAD">
        <w:t>,</w:t>
      </w:r>
      <w:r w:rsidR="004F34DC">
        <w:t>8</w:t>
      </w:r>
      <w:r w:rsidR="004F34DC" w:rsidRPr="009514C3">
        <w:t xml:space="preserve">19 </w:t>
      </w:r>
      <w:r w:rsidR="004D2372" w:rsidRPr="009514C3">
        <w:t>per 1,000 patients, per year</w:t>
      </w:r>
      <w:r w:rsidR="00F41FC0" w:rsidRPr="009F7AAD">
        <w:t xml:space="preserve">, </w:t>
      </w:r>
      <w:r w:rsidR="0085122F" w:rsidRPr="009514C3">
        <w:t xml:space="preserve">or </w:t>
      </w:r>
      <w:r w:rsidR="00F41FC0" w:rsidRPr="009F7AAD">
        <w:t>-$</w:t>
      </w:r>
      <w:r w:rsidR="004F34DC">
        <w:t>2</w:t>
      </w:r>
      <w:r w:rsidR="00F41FC0" w:rsidRPr="009F7AAD">
        <w:t>,</w:t>
      </w:r>
      <w:r w:rsidR="004F34DC">
        <w:t>719</w:t>
      </w:r>
      <w:r w:rsidR="004F34DC" w:rsidRPr="009F7AAD">
        <w:t xml:space="preserve"> </w:t>
      </w:r>
      <w:r w:rsidR="00F41FC0" w:rsidRPr="009F7AAD">
        <w:t>per patient</w:t>
      </w:r>
      <w:r w:rsidR="0085122F" w:rsidRPr="009514C3">
        <w:t xml:space="preserve"> versus controls, </w:t>
      </w:r>
      <w:r w:rsidR="00F41FC0" w:rsidRPr="009F7AAD">
        <w:t xml:space="preserve">and clinician-related services </w:t>
      </w:r>
      <w:r w:rsidR="0085122F" w:rsidRPr="009514C3">
        <w:t xml:space="preserve">were increased by </w:t>
      </w:r>
      <w:r w:rsidR="00F41FC0" w:rsidRPr="009F7AAD">
        <w:t>$</w:t>
      </w:r>
      <w:r w:rsidR="004F34DC">
        <w:t>72</w:t>
      </w:r>
      <w:r w:rsidR="00F41FC0" w:rsidRPr="009F7AAD">
        <w:t>,</w:t>
      </w:r>
      <w:r w:rsidR="004F34DC">
        <w:t>833</w:t>
      </w:r>
      <w:r w:rsidR="00F41FC0" w:rsidRPr="009F7AAD">
        <w:t xml:space="preserve">, </w:t>
      </w:r>
      <w:r w:rsidR="004B7F1B" w:rsidRPr="009514C3">
        <w:t xml:space="preserve">or </w:t>
      </w:r>
      <w:r w:rsidR="00F41FC0" w:rsidRPr="009F7AAD">
        <w:t>$</w:t>
      </w:r>
      <w:r w:rsidR="00B66BAA">
        <w:t>72.83</w:t>
      </w:r>
      <w:r w:rsidR="00B66BAA" w:rsidRPr="009F7AAD">
        <w:t xml:space="preserve"> </w:t>
      </w:r>
      <w:r w:rsidR="00F41FC0" w:rsidRPr="009F7AAD">
        <w:t>per patient</w:t>
      </w:r>
      <w:r w:rsidR="0085122F" w:rsidRPr="009514C3">
        <w:t xml:space="preserve">. Total costs were </w:t>
      </w:r>
      <w:r w:rsidR="00F41FC0" w:rsidRPr="00690B94">
        <w:t>-$</w:t>
      </w:r>
      <w:r w:rsidR="004F34DC">
        <w:t>2</w:t>
      </w:r>
      <w:r w:rsidR="00F41FC0" w:rsidRPr="00690B94">
        <w:t>,</w:t>
      </w:r>
      <w:r w:rsidR="004F34DC">
        <w:t>791</w:t>
      </w:r>
      <w:r w:rsidR="00F41FC0" w:rsidRPr="00690B94">
        <w:t>,</w:t>
      </w:r>
      <w:r w:rsidR="004F34DC">
        <w:t>652</w:t>
      </w:r>
      <w:r w:rsidR="00F41FC0" w:rsidRPr="00690B94">
        <w:t>, or -$</w:t>
      </w:r>
      <w:r w:rsidR="004F34DC">
        <w:t>2</w:t>
      </w:r>
      <w:r w:rsidR="00F41FC0" w:rsidRPr="00690B94">
        <w:t>,</w:t>
      </w:r>
      <w:r w:rsidR="004F34DC">
        <w:t>7</w:t>
      </w:r>
      <w:r w:rsidR="004F34DC" w:rsidRPr="009514C3">
        <w:t>9</w:t>
      </w:r>
      <w:r w:rsidR="004F34DC">
        <w:t>1</w:t>
      </w:r>
      <w:r w:rsidR="004F34DC" w:rsidRPr="00690B94">
        <w:t xml:space="preserve"> </w:t>
      </w:r>
      <w:r w:rsidR="00F41FC0" w:rsidRPr="00690B94">
        <w:t>per patient</w:t>
      </w:r>
      <w:r w:rsidR="0085122F" w:rsidRPr="009514C3">
        <w:t xml:space="preserve"> lower for the reSET-O </w:t>
      </w:r>
      <w:r w:rsidR="0085122F" w:rsidRPr="009514C3">
        <w:lastRenderedPageBreak/>
        <w:t>cohort compared to controls</w:t>
      </w:r>
      <w:r w:rsidR="00F41FC0" w:rsidRPr="00690B94">
        <w:t>.</w:t>
      </w:r>
      <w:r w:rsidR="004D2372">
        <w:t xml:space="preserve"> </w:t>
      </w:r>
    </w:p>
    <w:p w14:paraId="2905FE5E" w14:textId="35E1BFE4" w:rsidR="00A26329" w:rsidRDefault="00F41FC0" w:rsidP="00A26329">
      <w:pPr>
        <w:widowControl w:val="0"/>
        <w:spacing w:after="120" w:line="480" w:lineRule="auto"/>
      </w:pPr>
      <w:r>
        <w:tab/>
      </w:r>
      <w:r w:rsidR="006014D6">
        <w:t>Among those patients on buprenorphine therapy (n=619 in the reSET-O cohort, n=650 in the control cohort)</w:t>
      </w:r>
      <w:r w:rsidR="00A26329">
        <w:t xml:space="preserve"> the adjusted mean buprenorphine MPR, was significantly greater in the reSET-O group at </w:t>
      </w:r>
      <w:r w:rsidR="004B7F1B">
        <w:t>0.848 (SE 0.0110)</w:t>
      </w:r>
      <w:r w:rsidR="004B7F1B" w:rsidRPr="00825894">
        <w:t xml:space="preserve"> </w:t>
      </w:r>
      <w:r w:rsidR="004B7F1B">
        <w:t>(</w:t>
      </w:r>
      <w:r w:rsidR="004B7F1B" w:rsidRPr="002541D9">
        <w:rPr>
          <w:i/>
          <w:iCs/>
        </w:rPr>
        <w:t>P</w:t>
      </w:r>
      <w:r w:rsidR="004B7F1B">
        <w:t>&lt;0.001)</w:t>
      </w:r>
      <w:r w:rsidR="00A1049F">
        <w:t>,</w:t>
      </w:r>
      <w:r w:rsidR="00A26329">
        <w:t xml:space="preserve"> compared to the control cohort of</w:t>
      </w:r>
      <w:r w:rsidR="00A1049F">
        <w:t xml:space="preserve"> 0.761 (SE 0.0108)</w:t>
      </w:r>
      <w:r w:rsidR="00A1049F" w:rsidRPr="00825894">
        <w:t xml:space="preserve"> </w:t>
      </w:r>
      <w:r w:rsidR="00A1049F">
        <w:t>(</w:t>
      </w:r>
      <w:r w:rsidR="00A1049F" w:rsidRPr="002541D9">
        <w:rPr>
          <w:i/>
          <w:iCs/>
        </w:rPr>
        <w:t>P</w:t>
      </w:r>
      <w:r w:rsidR="00A1049F">
        <w:t>&lt;0.001)</w:t>
      </w:r>
      <w:r w:rsidR="00A26329">
        <w:t xml:space="preserve">. </w:t>
      </w:r>
    </w:p>
    <w:p w14:paraId="552A15AC" w14:textId="284C9545" w:rsidR="00FE1FDD" w:rsidRPr="00C76B97" w:rsidRDefault="00867AA5" w:rsidP="00FE1FDD">
      <w:pPr>
        <w:keepNext/>
        <w:spacing w:after="120" w:line="480" w:lineRule="auto"/>
        <w:rPr>
          <w:color w:val="000000"/>
          <w:u w:val="single"/>
        </w:rPr>
      </w:pPr>
      <w:r>
        <w:rPr>
          <w:color w:val="000000"/>
          <w:u w:val="single"/>
        </w:rPr>
        <w:t>Patients covered by Medicaid</w:t>
      </w:r>
    </w:p>
    <w:p w14:paraId="04EF6492" w14:textId="5E74289E" w:rsidR="00FE1FDD" w:rsidRPr="009514C3" w:rsidRDefault="00891322" w:rsidP="009514C3">
      <w:pPr>
        <w:widowControl w:val="0"/>
        <w:spacing w:after="120" w:line="480" w:lineRule="auto"/>
        <w:ind w:firstLine="720"/>
      </w:pPr>
      <w:r w:rsidRPr="009514C3">
        <w:t xml:space="preserve">In </w:t>
      </w:r>
      <w:r w:rsidR="008B53E0">
        <w:t xml:space="preserve">analyses in the Medicaid subpopulation </w:t>
      </w:r>
      <w:r w:rsidRPr="009514C3">
        <w:t>there were 666 patients treated with reSET-O (</w:t>
      </w:r>
      <w:r w:rsidRPr="00BA125C">
        <w:rPr>
          <w:color w:val="000000"/>
        </w:rPr>
        <w:t xml:space="preserve">median age 36 years; </w:t>
      </w:r>
      <w:r w:rsidR="00387E62" w:rsidRPr="00BA125C">
        <w:rPr>
          <w:color w:val="000000"/>
        </w:rPr>
        <w:t>66</w:t>
      </w:r>
      <w:r w:rsidRPr="00BA125C">
        <w:rPr>
          <w:color w:val="000000"/>
        </w:rPr>
        <w:t>.</w:t>
      </w:r>
      <w:r w:rsidR="00387E62" w:rsidRPr="00BA125C">
        <w:rPr>
          <w:color w:val="000000"/>
        </w:rPr>
        <w:t>4</w:t>
      </w:r>
      <w:r w:rsidRPr="00BA125C">
        <w:rPr>
          <w:color w:val="000000"/>
        </w:rPr>
        <w:t xml:space="preserve">% female, </w:t>
      </w:r>
      <w:r w:rsidR="002A471F" w:rsidRPr="00BA125C">
        <w:rPr>
          <w:color w:val="000000"/>
        </w:rPr>
        <w:t>33.2</w:t>
      </w:r>
      <w:r w:rsidR="002A471F">
        <w:rPr>
          <w:color w:val="000000"/>
        </w:rPr>
        <w:t>% from</w:t>
      </w:r>
      <w:r w:rsidR="002A471F" w:rsidRPr="00BA125C">
        <w:rPr>
          <w:color w:val="000000"/>
        </w:rPr>
        <w:t xml:space="preserve"> mid-Atlantic</w:t>
      </w:r>
      <w:r w:rsidR="002A471F">
        <w:rPr>
          <w:color w:val="000000"/>
        </w:rPr>
        <w:t xml:space="preserve"> region</w:t>
      </w:r>
      <w:r w:rsidR="002A471F" w:rsidRPr="00BA125C">
        <w:rPr>
          <w:color w:val="000000"/>
        </w:rPr>
        <w:t xml:space="preserve">, and 48.9% </w:t>
      </w:r>
      <w:r w:rsidR="002A471F">
        <w:rPr>
          <w:color w:val="000000"/>
        </w:rPr>
        <w:t>from e</w:t>
      </w:r>
      <w:r w:rsidR="002A471F" w:rsidRPr="00BA125C">
        <w:rPr>
          <w:color w:val="000000"/>
        </w:rPr>
        <w:t xml:space="preserve">ast </w:t>
      </w:r>
      <w:r w:rsidR="002A471F">
        <w:rPr>
          <w:color w:val="000000"/>
        </w:rPr>
        <w:t>s</w:t>
      </w:r>
      <w:r w:rsidR="002A471F" w:rsidRPr="00BA125C">
        <w:rPr>
          <w:color w:val="000000"/>
        </w:rPr>
        <w:t xml:space="preserve">outh </w:t>
      </w:r>
      <w:r w:rsidR="002A471F">
        <w:rPr>
          <w:color w:val="000000"/>
        </w:rPr>
        <w:t>c</w:t>
      </w:r>
      <w:r w:rsidR="002A471F" w:rsidRPr="00BA125C">
        <w:rPr>
          <w:color w:val="000000"/>
        </w:rPr>
        <w:t>entral region</w:t>
      </w:r>
      <w:r w:rsidR="002A471F">
        <w:rPr>
          <w:color w:val="000000"/>
        </w:rPr>
        <w:t>,</w:t>
      </w:r>
      <w:r w:rsidR="002A471F" w:rsidRPr="00BA125C">
        <w:rPr>
          <w:color w:val="000000"/>
        </w:rPr>
        <w:t xml:space="preserve"> </w:t>
      </w:r>
      <w:r w:rsidR="00387E62" w:rsidRPr="00BA125C">
        <w:rPr>
          <w:color w:val="000000"/>
        </w:rPr>
        <w:t>9</w:t>
      </w:r>
      <w:r w:rsidR="008B53E0">
        <w:rPr>
          <w:color w:val="000000"/>
        </w:rPr>
        <w:t>4</w:t>
      </w:r>
      <w:r w:rsidRPr="00BA125C">
        <w:rPr>
          <w:color w:val="000000"/>
        </w:rPr>
        <w:t>.5% treated with buprenorphine</w:t>
      </w:r>
      <w:r w:rsidR="0025029E" w:rsidRPr="00BA125C">
        <w:rPr>
          <w:color w:val="000000"/>
        </w:rPr>
        <w:t xml:space="preserve"> </w:t>
      </w:r>
      <w:r w:rsidR="008B53E0">
        <w:rPr>
          <w:color w:val="000000"/>
        </w:rPr>
        <w:t xml:space="preserve">in both pre- and </w:t>
      </w:r>
      <w:r w:rsidR="0025029E" w:rsidRPr="00BA125C">
        <w:rPr>
          <w:color w:val="000000"/>
        </w:rPr>
        <w:t>post-index</w:t>
      </w:r>
      <w:r w:rsidR="008B53E0">
        <w:rPr>
          <w:color w:val="000000"/>
        </w:rPr>
        <w:t xml:space="preserve"> periods</w:t>
      </w:r>
      <w:r w:rsidRPr="009514C3">
        <w:t xml:space="preserve">), and </w:t>
      </w:r>
      <w:r w:rsidR="0025029E" w:rsidRPr="009514C3">
        <w:t>640</w:t>
      </w:r>
      <w:r w:rsidRPr="009514C3">
        <w:t xml:space="preserve"> controls (</w:t>
      </w:r>
      <w:r w:rsidRPr="00BA125C">
        <w:rPr>
          <w:color w:val="000000"/>
        </w:rPr>
        <w:t>median age 3</w:t>
      </w:r>
      <w:r w:rsidR="00387E62" w:rsidRPr="00BA125C">
        <w:rPr>
          <w:color w:val="000000"/>
        </w:rPr>
        <w:t>7</w:t>
      </w:r>
      <w:r w:rsidRPr="00BA125C">
        <w:rPr>
          <w:color w:val="000000"/>
        </w:rPr>
        <w:t xml:space="preserve"> years; 5</w:t>
      </w:r>
      <w:r w:rsidR="00572495">
        <w:rPr>
          <w:color w:val="000000"/>
        </w:rPr>
        <w:t>9</w:t>
      </w:r>
      <w:r w:rsidRPr="00BA125C">
        <w:rPr>
          <w:color w:val="000000"/>
        </w:rPr>
        <w:t>.</w:t>
      </w:r>
      <w:r w:rsidR="00572495">
        <w:rPr>
          <w:color w:val="000000"/>
        </w:rPr>
        <w:t>2</w:t>
      </w:r>
      <w:r w:rsidRPr="00BA125C">
        <w:rPr>
          <w:color w:val="000000"/>
        </w:rPr>
        <w:t>% female</w:t>
      </w:r>
      <w:r w:rsidR="002A471F" w:rsidRPr="00BA125C">
        <w:rPr>
          <w:color w:val="000000"/>
        </w:rPr>
        <w:t xml:space="preserve">, 43.8% mid-Atlantic, and 39.5% </w:t>
      </w:r>
      <w:r w:rsidR="002A471F">
        <w:rPr>
          <w:color w:val="000000"/>
        </w:rPr>
        <w:t>e</w:t>
      </w:r>
      <w:r w:rsidR="002A471F" w:rsidRPr="00BA125C">
        <w:rPr>
          <w:color w:val="000000"/>
        </w:rPr>
        <w:t xml:space="preserve">ast </w:t>
      </w:r>
      <w:r w:rsidR="002A471F">
        <w:rPr>
          <w:color w:val="000000"/>
        </w:rPr>
        <w:t>s</w:t>
      </w:r>
      <w:r w:rsidR="002A471F" w:rsidRPr="00BA125C">
        <w:rPr>
          <w:color w:val="000000"/>
        </w:rPr>
        <w:t xml:space="preserve">outh </w:t>
      </w:r>
      <w:r w:rsidR="002A471F">
        <w:rPr>
          <w:color w:val="000000"/>
        </w:rPr>
        <w:t>c</w:t>
      </w:r>
      <w:r w:rsidR="002A471F" w:rsidRPr="00BA125C">
        <w:rPr>
          <w:color w:val="000000"/>
        </w:rPr>
        <w:t>entral region</w:t>
      </w:r>
      <w:r w:rsidRPr="00BA125C">
        <w:rPr>
          <w:color w:val="000000"/>
        </w:rPr>
        <w:t xml:space="preserve">, </w:t>
      </w:r>
      <w:r w:rsidR="00387E62" w:rsidRPr="00BA125C">
        <w:rPr>
          <w:color w:val="000000"/>
        </w:rPr>
        <w:t>9</w:t>
      </w:r>
      <w:r w:rsidR="00572495">
        <w:rPr>
          <w:color w:val="000000"/>
        </w:rPr>
        <w:t>2</w:t>
      </w:r>
      <w:r w:rsidRPr="00BA125C">
        <w:rPr>
          <w:color w:val="000000"/>
        </w:rPr>
        <w:t>.</w:t>
      </w:r>
      <w:r w:rsidR="00572495">
        <w:rPr>
          <w:color w:val="000000"/>
        </w:rPr>
        <w:t>8</w:t>
      </w:r>
      <w:r w:rsidRPr="00BA125C">
        <w:rPr>
          <w:color w:val="000000"/>
        </w:rPr>
        <w:t>% treated with buprenorphine</w:t>
      </w:r>
      <w:r w:rsidR="00572495">
        <w:rPr>
          <w:color w:val="000000"/>
        </w:rPr>
        <w:t xml:space="preserve"> in both pre- and post-index periods</w:t>
      </w:r>
      <w:r w:rsidRPr="009514C3">
        <w:t>).</w:t>
      </w:r>
      <w:r w:rsidR="002A471F">
        <w:t xml:space="preserve"> </w:t>
      </w:r>
      <w:r w:rsidR="002A471F">
        <w:rPr>
          <w:color w:val="000000"/>
        </w:rPr>
        <w:t xml:space="preserve">Pre-index MPR was similar in both cohorts (reSET-O: 0.632; Controls: 0.624; </w:t>
      </w:r>
      <w:r w:rsidR="002A471F" w:rsidRPr="00B617C2">
        <w:rPr>
          <w:i/>
          <w:color w:val="000000"/>
        </w:rPr>
        <w:t>P</w:t>
      </w:r>
      <w:r w:rsidR="002A471F">
        <w:rPr>
          <w:color w:val="000000"/>
        </w:rPr>
        <w:t>=0.622).</w:t>
      </w:r>
    </w:p>
    <w:p w14:paraId="43FEB625" w14:textId="75BA87C8" w:rsidR="00FE1FDD" w:rsidRDefault="00891322" w:rsidP="009514C3">
      <w:pPr>
        <w:widowControl w:val="0"/>
        <w:spacing w:after="120" w:line="480" w:lineRule="auto"/>
        <w:ind w:firstLine="720"/>
      </w:pPr>
      <w:r w:rsidRPr="009514C3">
        <w:t xml:space="preserve">Full data </w:t>
      </w:r>
      <w:r w:rsidR="006F1614">
        <w:t>for patients with Medicaid coverage and</w:t>
      </w:r>
      <w:r w:rsidR="00FE1FDD" w:rsidRPr="009514C3">
        <w:t xml:space="preserve"> differences in facility and clinician services </w:t>
      </w:r>
      <w:r w:rsidR="006F1614">
        <w:t xml:space="preserve">between reSET-O users and controls </w:t>
      </w:r>
      <w:r w:rsidR="00FE1FDD" w:rsidRPr="009514C3">
        <w:t xml:space="preserve">are shown in </w:t>
      </w:r>
      <w:r w:rsidR="008A5F09">
        <w:t>the supplementary material</w:t>
      </w:r>
      <w:r w:rsidR="00FE1FDD" w:rsidRPr="009514C3">
        <w:t>.</w:t>
      </w:r>
      <w:r w:rsidR="00FE1FDD" w:rsidRPr="00770CFA">
        <w:t xml:space="preserve"> </w:t>
      </w:r>
      <w:r w:rsidRPr="00770CFA">
        <w:t>Briefly, there were</w:t>
      </w:r>
      <w:r w:rsidR="00FE1FDD" w:rsidRPr="00770CFA">
        <w:t xml:space="preserve"> </w:t>
      </w:r>
      <w:r w:rsidRPr="00770CFA">
        <w:t xml:space="preserve">70 fewer ED visits, </w:t>
      </w:r>
      <w:r w:rsidR="007A603E">
        <w:t xml:space="preserve">and </w:t>
      </w:r>
      <w:r w:rsidRPr="00770CFA">
        <w:t>65 fewer inpatient stays</w:t>
      </w:r>
      <w:r w:rsidR="007A603E">
        <w:t xml:space="preserve"> per 1,000 patients</w:t>
      </w:r>
      <w:r w:rsidRPr="00770CFA">
        <w:t xml:space="preserve"> </w:t>
      </w:r>
      <w:r w:rsidR="007A603E">
        <w:t>(which included</w:t>
      </w:r>
      <w:r w:rsidR="00D63015">
        <w:t xml:space="preserve"> </w:t>
      </w:r>
      <w:r w:rsidRPr="00770CFA">
        <w:t>20 fewer ICU stays</w:t>
      </w:r>
      <w:r w:rsidR="00BA125C" w:rsidRPr="009514C3">
        <w:t xml:space="preserve"> versus controls</w:t>
      </w:r>
      <w:r w:rsidR="007A603E">
        <w:t>)</w:t>
      </w:r>
      <w:r w:rsidR="00387E62" w:rsidRPr="009514C3">
        <w:t xml:space="preserve">. </w:t>
      </w:r>
      <w:r w:rsidRPr="00770CFA">
        <w:t>In total, re</w:t>
      </w:r>
      <w:r w:rsidR="00D63015">
        <w:t>S</w:t>
      </w:r>
      <w:r w:rsidRPr="00770CFA">
        <w:t xml:space="preserve">ET-O-treated patients </w:t>
      </w:r>
      <w:r w:rsidR="0051197C" w:rsidRPr="00770CFA">
        <w:t xml:space="preserve">145 fewer </w:t>
      </w:r>
      <w:r w:rsidRPr="00770CFA">
        <w:t>unique hospital encounters</w:t>
      </w:r>
      <w:r w:rsidR="00387E62" w:rsidRPr="009514C3">
        <w:t xml:space="preserve"> over 12 months</w:t>
      </w:r>
      <w:r w:rsidRPr="00770CFA">
        <w:t>.</w:t>
      </w:r>
      <w:r w:rsidR="00BA125C">
        <w:t xml:space="preserve"> Clinician services were increased by a total of 4</w:t>
      </w:r>
      <w:r w:rsidR="009156C2">
        <w:t>,</w:t>
      </w:r>
      <w:r w:rsidR="00BA125C">
        <w:t>363 events</w:t>
      </w:r>
      <w:r w:rsidR="0018423B">
        <w:t>;</w:t>
      </w:r>
      <w:r w:rsidR="00BA125C">
        <w:t xml:space="preserve"> the categories with the largest difference </w:t>
      </w:r>
      <w:r w:rsidR="00D404FD">
        <w:t xml:space="preserve">were: </w:t>
      </w:r>
      <w:r w:rsidR="00BA125C">
        <w:t>E&amp;M outpatient visits (2</w:t>
      </w:r>
      <w:r w:rsidR="009156C2">
        <w:t>,</w:t>
      </w:r>
      <w:r w:rsidR="00BA125C">
        <w:t xml:space="preserve">030 additional events), </w:t>
      </w:r>
      <w:r w:rsidR="00D404FD">
        <w:t xml:space="preserve">E&amp;M: case management (1,877 additional events), </w:t>
      </w:r>
      <w:r w:rsidR="00D63015">
        <w:t>m</w:t>
      </w:r>
      <w:r w:rsidR="00D404FD">
        <w:t xml:space="preserve">edicine: psychiatry (1,028 additional events), </w:t>
      </w:r>
      <w:r w:rsidR="00D63015">
        <w:t>p</w:t>
      </w:r>
      <w:r w:rsidR="005D1EF6">
        <w:t xml:space="preserve">athology and </w:t>
      </w:r>
      <w:r w:rsidR="00D63015">
        <w:t>l</w:t>
      </w:r>
      <w:r w:rsidR="005D1EF6">
        <w:t>aboratory: drug assay (827 fewer events), and E&amp;M: hospital inpatient services</w:t>
      </w:r>
      <w:r w:rsidR="007D0EA6">
        <w:t xml:space="preserve"> (504 fewer events)</w:t>
      </w:r>
      <w:r w:rsidR="00D404FD">
        <w:t>.</w:t>
      </w:r>
      <w:r w:rsidR="00BA125C">
        <w:t xml:space="preserve"> </w:t>
      </w:r>
    </w:p>
    <w:p w14:paraId="1EBE3B63" w14:textId="27C98212" w:rsidR="00387E62" w:rsidRPr="00E05547" w:rsidRDefault="00770CFA" w:rsidP="00387E62">
      <w:pPr>
        <w:widowControl w:val="0"/>
        <w:spacing w:line="480" w:lineRule="auto"/>
        <w:ind w:firstLine="720"/>
        <w:rPr>
          <w:color w:val="000000"/>
        </w:rPr>
      </w:pPr>
      <w:r>
        <w:t xml:space="preserve">Cost </w:t>
      </w:r>
      <w:r w:rsidR="00B41A22">
        <w:t>comparisons</w:t>
      </w:r>
      <w:r>
        <w:t xml:space="preserve"> in the </w:t>
      </w:r>
      <w:r w:rsidR="00387E62" w:rsidRPr="002078E7">
        <w:t xml:space="preserve">Medicaid </w:t>
      </w:r>
      <w:r w:rsidR="00387E62" w:rsidRPr="00BF53D2">
        <w:t>population</w:t>
      </w:r>
      <w:r>
        <w:t xml:space="preserve"> revealed that</w:t>
      </w:r>
      <w:r w:rsidR="00387E62" w:rsidRPr="00BF53D2">
        <w:t xml:space="preserve"> </w:t>
      </w:r>
      <w:r w:rsidR="00D63015">
        <w:t>f</w:t>
      </w:r>
      <w:r w:rsidR="00387E62" w:rsidRPr="004B7F1B">
        <w:t>acility</w:t>
      </w:r>
      <w:r w:rsidR="00387E62" w:rsidRPr="00C76B97">
        <w:t>-related</w:t>
      </w:r>
      <w:r w:rsidR="00387E62" w:rsidRPr="004B7F1B">
        <w:t xml:space="preserve"> </w:t>
      </w:r>
      <w:r w:rsidR="00387E62" w:rsidRPr="00C76B97">
        <w:t xml:space="preserve">costs were reduced by </w:t>
      </w:r>
      <w:r w:rsidR="00387E62" w:rsidRPr="004B7F1B">
        <w:t>-$</w:t>
      </w:r>
      <w:r w:rsidR="004A1CC6">
        <w:t>4</w:t>
      </w:r>
      <w:r w:rsidR="00387E62" w:rsidRPr="004B7F1B">
        <w:t>,</w:t>
      </w:r>
      <w:r w:rsidR="004A1CC6">
        <w:t>008</w:t>
      </w:r>
      <w:r w:rsidR="00387E62">
        <w:t>,</w:t>
      </w:r>
      <w:r w:rsidR="004A1CC6">
        <w:t>370</w:t>
      </w:r>
      <w:r w:rsidR="004A1CC6" w:rsidRPr="00C76B97">
        <w:t xml:space="preserve"> </w:t>
      </w:r>
      <w:r w:rsidR="00387E62" w:rsidRPr="00C76B97">
        <w:t>per 1,000 patients, per year</w:t>
      </w:r>
      <w:r w:rsidR="00387E62" w:rsidRPr="004B7F1B">
        <w:t xml:space="preserve">, </w:t>
      </w:r>
      <w:r w:rsidR="00387E62" w:rsidRPr="00C76B97">
        <w:t xml:space="preserve">or </w:t>
      </w:r>
      <w:r w:rsidR="00387E62" w:rsidRPr="004B7F1B">
        <w:t>-$</w:t>
      </w:r>
      <w:r w:rsidR="004A1CC6">
        <w:t>4</w:t>
      </w:r>
      <w:r w:rsidR="00387E62" w:rsidRPr="004B7F1B">
        <w:t>,</w:t>
      </w:r>
      <w:r w:rsidR="004A1CC6">
        <w:t>008</w:t>
      </w:r>
      <w:r w:rsidR="004A1CC6" w:rsidRPr="004B7F1B">
        <w:t xml:space="preserve"> </w:t>
      </w:r>
      <w:r w:rsidR="00387E62" w:rsidRPr="004B7F1B">
        <w:t>per patient</w:t>
      </w:r>
      <w:r w:rsidR="00387E62" w:rsidRPr="00C76B97">
        <w:t xml:space="preserve"> versus controls, </w:t>
      </w:r>
      <w:r w:rsidR="00387E62" w:rsidRPr="004B7F1B">
        <w:t xml:space="preserve">and </w:t>
      </w:r>
      <w:r w:rsidR="00387E62" w:rsidRPr="004B7F1B">
        <w:lastRenderedPageBreak/>
        <w:t xml:space="preserve">clinician-related services </w:t>
      </w:r>
      <w:r w:rsidR="00387E62" w:rsidRPr="00C76B97">
        <w:t xml:space="preserve">were increased by </w:t>
      </w:r>
      <w:r w:rsidR="00387E62" w:rsidRPr="004B7F1B">
        <w:t>$</w:t>
      </w:r>
      <w:r w:rsidR="004A1CC6" w:rsidRPr="00C76B97">
        <w:t>1</w:t>
      </w:r>
      <w:r w:rsidR="004A1CC6">
        <w:t>7</w:t>
      </w:r>
      <w:r w:rsidR="004A1CC6" w:rsidRPr="00C76B97">
        <w:t>2</w:t>
      </w:r>
      <w:r w:rsidR="00387E62" w:rsidRPr="004B7F1B">
        <w:t>,</w:t>
      </w:r>
      <w:r w:rsidR="004A1CC6" w:rsidRPr="00C76B97">
        <w:t>1</w:t>
      </w:r>
      <w:r w:rsidR="004A1CC6">
        <w:t>58</w:t>
      </w:r>
      <w:r w:rsidR="00387E62" w:rsidRPr="004B7F1B">
        <w:t xml:space="preserve">, </w:t>
      </w:r>
      <w:r w:rsidR="00387E62" w:rsidRPr="00C76B97">
        <w:t xml:space="preserve">or </w:t>
      </w:r>
      <w:r w:rsidR="00387E62" w:rsidRPr="004B7F1B">
        <w:t>$</w:t>
      </w:r>
      <w:r w:rsidR="004A1CC6">
        <w:t>172</w:t>
      </w:r>
      <w:r w:rsidR="004A1CC6" w:rsidRPr="004B7F1B">
        <w:t xml:space="preserve"> </w:t>
      </w:r>
      <w:r w:rsidR="00387E62" w:rsidRPr="004B7F1B">
        <w:t>per patient</w:t>
      </w:r>
      <w:r w:rsidR="00387E62" w:rsidRPr="00C76B97">
        <w:t xml:space="preserve">. Total costs were </w:t>
      </w:r>
      <w:r w:rsidR="00387E62" w:rsidRPr="004B7F1B">
        <w:t>-$</w:t>
      </w:r>
      <w:r w:rsidR="00387E62">
        <w:t>3</w:t>
      </w:r>
      <w:r w:rsidR="00387E62" w:rsidRPr="004B7F1B">
        <w:t>,</w:t>
      </w:r>
      <w:r w:rsidR="005120DC">
        <w:t>832</w:t>
      </w:r>
      <w:r w:rsidR="00387E62" w:rsidRPr="004B7F1B">
        <w:t>,</w:t>
      </w:r>
      <w:r w:rsidR="004A1CC6">
        <w:t>284</w:t>
      </w:r>
      <w:r w:rsidR="00387E62" w:rsidRPr="004B7F1B">
        <w:t>, or -$</w:t>
      </w:r>
      <w:r w:rsidR="00387E62">
        <w:t>3,</w:t>
      </w:r>
      <w:r w:rsidR="005120DC">
        <w:t>832</w:t>
      </w:r>
      <w:r w:rsidR="005120DC" w:rsidRPr="004B7F1B">
        <w:t xml:space="preserve"> </w:t>
      </w:r>
      <w:r w:rsidR="00387E62" w:rsidRPr="004B7F1B">
        <w:t>per patient</w:t>
      </w:r>
      <w:r w:rsidR="00387E62" w:rsidRPr="00C76B97">
        <w:t xml:space="preserve"> lower for the reSET-O cohort compared to controls</w:t>
      </w:r>
      <w:r w:rsidR="00387E62" w:rsidRPr="004B7F1B">
        <w:t>.</w:t>
      </w:r>
      <w:r w:rsidR="00387E62">
        <w:rPr>
          <w:highlight w:val="yellow"/>
        </w:rPr>
        <w:t xml:space="preserve"> </w:t>
      </w:r>
    </w:p>
    <w:p w14:paraId="02FAEBC4" w14:textId="1AFA45BB" w:rsidR="0051197C" w:rsidRDefault="0051197C" w:rsidP="009514C3">
      <w:pPr>
        <w:widowControl w:val="0"/>
        <w:spacing w:after="120" w:line="480" w:lineRule="auto"/>
        <w:ind w:firstLine="720"/>
      </w:pPr>
      <w:r w:rsidRPr="002C4D78">
        <w:t>Among those patients on buprenorphine therapy (n=</w:t>
      </w:r>
      <w:r w:rsidR="002C4D78" w:rsidRPr="009514C3">
        <w:t>498</w:t>
      </w:r>
      <w:r w:rsidRPr="002C4D78">
        <w:t xml:space="preserve"> in the reSET-O cohort, n=</w:t>
      </w:r>
      <w:r w:rsidR="002C4D78" w:rsidRPr="009514C3">
        <w:t>478</w:t>
      </w:r>
      <w:r w:rsidRPr="002C4D78">
        <w:t xml:space="preserve"> in the control cohort) the adjusted mean buprenorphine MPR, was significantly greater in the reSET-O group at 0.8</w:t>
      </w:r>
      <w:r w:rsidR="002C4D78" w:rsidRPr="009514C3">
        <w:t>54</w:t>
      </w:r>
      <w:r w:rsidRPr="002C4D78">
        <w:t xml:space="preserve"> (SE 0.01</w:t>
      </w:r>
      <w:r w:rsidR="002C4D78" w:rsidRPr="009514C3">
        <w:t>2</w:t>
      </w:r>
      <w:r w:rsidRPr="002C4D78">
        <w:t>0) (</w:t>
      </w:r>
      <w:r w:rsidRPr="002C4D78">
        <w:rPr>
          <w:i/>
          <w:iCs/>
        </w:rPr>
        <w:t>P</w:t>
      </w:r>
      <w:r w:rsidRPr="002C4D78">
        <w:t>&lt;0.001), compared to the control cohort of 0.76</w:t>
      </w:r>
      <w:r w:rsidR="002C4D78" w:rsidRPr="009514C3">
        <w:t>2</w:t>
      </w:r>
      <w:r w:rsidRPr="002C4D78">
        <w:t xml:space="preserve"> (SE 0.01</w:t>
      </w:r>
      <w:r w:rsidR="002C4D78" w:rsidRPr="009514C3">
        <w:t>22</w:t>
      </w:r>
      <w:r w:rsidRPr="002C4D78">
        <w:t>) (</w:t>
      </w:r>
      <w:r w:rsidRPr="002C4D78">
        <w:rPr>
          <w:i/>
          <w:iCs/>
        </w:rPr>
        <w:t>P</w:t>
      </w:r>
      <w:r w:rsidRPr="002C4D78">
        <w:t>&lt;0.00</w:t>
      </w:r>
      <w:r w:rsidR="002C4D78" w:rsidRPr="009514C3">
        <w:t>0</w:t>
      </w:r>
      <w:r w:rsidRPr="002C4D78">
        <w:t>1).</w:t>
      </w:r>
      <w:r>
        <w:t xml:space="preserve"> </w:t>
      </w:r>
    </w:p>
    <w:p w14:paraId="45988645" w14:textId="6C9F7EB8" w:rsidR="00EE7DD1" w:rsidRPr="00C76B97" w:rsidRDefault="00EE7DD1" w:rsidP="00EE7DD1">
      <w:pPr>
        <w:keepNext/>
        <w:spacing w:after="120" w:line="480" w:lineRule="auto"/>
        <w:rPr>
          <w:color w:val="000000"/>
          <w:u w:val="single"/>
        </w:rPr>
      </w:pPr>
      <w:r>
        <w:rPr>
          <w:color w:val="000000"/>
          <w:u w:val="single"/>
        </w:rPr>
        <w:t>Adjustment for Baseline Mental Health and Substance Use Disorders</w:t>
      </w:r>
    </w:p>
    <w:p w14:paraId="2CDBB17F" w14:textId="0FF7E883" w:rsidR="0007627A" w:rsidRDefault="0007627A" w:rsidP="00A26329">
      <w:pPr>
        <w:widowControl w:val="0"/>
        <w:spacing w:after="120" w:line="480" w:lineRule="auto"/>
      </w:pPr>
      <w:r>
        <w:t>T</w:t>
      </w:r>
      <w:r w:rsidRPr="0007627A">
        <w:t xml:space="preserve">he analysis models were </w:t>
      </w:r>
      <w:r w:rsidR="00836AB3">
        <w:t xml:space="preserve">further </w:t>
      </w:r>
      <w:r w:rsidRPr="0007627A">
        <w:t xml:space="preserve">adjusted for both </w:t>
      </w:r>
      <w:r>
        <w:t xml:space="preserve">mental health and </w:t>
      </w:r>
      <w:r w:rsidRPr="0007627A">
        <w:t>substance use disorder</w:t>
      </w:r>
      <w:r>
        <w:t>s</w:t>
      </w:r>
      <w:r w:rsidRPr="0007627A">
        <w:t xml:space="preserve"> by adding an indicator variable for each disorder. Both SUD and psychologic disorder were highly significant in the model for the majority of HCRU outcomes, with the presence of SUD or psychologic disorder being associated with a higher incidence of HCRU in the 12-months post index. </w:t>
      </w:r>
      <w:r w:rsidR="000B5EBD" w:rsidRPr="0007627A">
        <w:t xml:space="preserve">As the distribution of SUD and </w:t>
      </w:r>
      <w:r w:rsidR="009062C1">
        <w:t>mental health</w:t>
      </w:r>
      <w:r w:rsidR="009062C1" w:rsidRPr="0007627A">
        <w:t xml:space="preserve"> </w:t>
      </w:r>
      <w:r w:rsidR="000B5EBD" w:rsidRPr="0007627A">
        <w:t>disorder</w:t>
      </w:r>
      <w:r w:rsidR="000C35DE">
        <w:t>s</w:t>
      </w:r>
      <w:r w:rsidR="000B5EBD" w:rsidRPr="0007627A">
        <w:t xml:space="preserve"> </w:t>
      </w:r>
      <w:r w:rsidR="000B5EBD">
        <w:t>was</w:t>
      </w:r>
      <w:r w:rsidR="000B5EBD" w:rsidRPr="0007627A">
        <w:t xml:space="preserve"> similar </w:t>
      </w:r>
      <w:r w:rsidR="000B5EBD">
        <w:t>across</w:t>
      </w:r>
      <w:r w:rsidR="000B5EBD" w:rsidRPr="0007627A">
        <w:t xml:space="preserve"> the </w:t>
      </w:r>
      <w:r w:rsidR="000B5EBD">
        <w:t>r</w:t>
      </w:r>
      <w:r w:rsidR="000B5EBD" w:rsidRPr="0007627A">
        <w:t>eSET-O and control cohorts</w:t>
      </w:r>
      <w:r w:rsidR="000C35DE">
        <w:t xml:space="preserve"> (Table 1)</w:t>
      </w:r>
      <w:r w:rsidR="000B5EBD">
        <w:t>,</w:t>
      </w:r>
      <w:r w:rsidR="000B5EBD" w:rsidRPr="0007627A">
        <w:t xml:space="preserve"> the </w:t>
      </w:r>
      <w:r w:rsidR="000B5EBD">
        <w:t xml:space="preserve">resulting </w:t>
      </w:r>
      <w:r w:rsidR="000B5EBD" w:rsidRPr="0007627A">
        <w:t xml:space="preserve">IRRs comparing the cohorts </w:t>
      </w:r>
      <w:r w:rsidR="000B5EBD">
        <w:t>we</w:t>
      </w:r>
      <w:r w:rsidR="000B5EBD" w:rsidRPr="0007627A">
        <w:t xml:space="preserve">re similar to those </w:t>
      </w:r>
      <w:r w:rsidR="000B5EBD">
        <w:t xml:space="preserve">of </w:t>
      </w:r>
      <w:r w:rsidR="000B5EBD" w:rsidRPr="0007627A">
        <w:t xml:space="preserve">the </w:t>
      </w:r>
      <w:r w:rsidR="000B5EBD">
        <w:t xml:space="preserve">original </w:t>
      </w:r>
      <w:r w:rsidR="000B5EBD" w:rsidRPr="0007627A">
        <w:t>model</w:t>
      </w:r>
      <w:r w:rsidR="000B5EBD">
        <w:t xml:space="preserve"> (Table </w:t>
      </w:r>
      <w:r w:rsidR="00107257">
        <w:t>3</w:t>
      </w:r>
      <w:r w:rsidR="000B5EBD">
        <w:t>)</w:t>
      </w:r>
      <w:r w:rsidR="000B5EBD" w:rsidRPr="0007627A">
        <w:t>.</w:t>
      </w:r>
      <w:r w:rsidR="000B5EBD">
        <w:t xml:space="preserve"> In general, baseline HCRU had the strongest association with post-index HCRU, followed by baseline SUD, age/region/payer, and baseline mental health disorders (data not shown). </w:t>
      </w:r>
    </w:p>
    <w:p w14:paraId="2D3A2ED0" w14:textId="78BC2413" w:rsidR="00C53979" w:rsidRDefault="001559EB" w:rsidP="002541D9">
      <w:pPr>
        <w:keepNext/>
        <w:spacing w:line="480" w:lineRule="auto"/>
        <w:rPr>
          <w:b/>
        </w:rPr>
      </w:pPr>
      <w:r>
        <w:rPr>
          <w:b/>
        </w:rPr>
        <w:t>Discussion</w:t>
      </w:r>
    </w:p>
    <w:p w14:paraId="3C807E5B" w14:textId="30A1B013" w:rsidR="007F30FE" w:rsidRDefault="00F23A2E" w:rsidP="007F30FE">
      <w:pPr>
        <w:pStyle w:val="CommentText"/>
        <w:spacing w:line="480" w:lineRule="auto"/>
        <w:ind w:firstLine="720"/>
        <w:rPr>
          <w:sz w:val="24"/>
          <w:szCs w:val="24"/>
        </w:rPr>
      </w:pPr>
      <w:r w:rsidRPr="002118E9">
        <w:rPr>
          <w:color w:val="000000"/>
          <w:sz w:val="24"/>
          <w:szCs w:val="24"/>
        </w:rPr>
        <w:t xml:space="preserve">In this </w:t>
      </w:r>
      <w:r w:rsidR="00C065F1">
        <w:rPr>
          <w:color w:val="000000"/>
          <w:sz w:val="24"/>
          <w:szCs w:val="24"/>
        </w:rPr>
        <w:t xml:space="preserve">12-month follow-up </w:t>
      </w:r>
      <w:r w:rsidRPr="002118E9">
        <w:rPr>
          <w:color w:val="000000"/>
          <w:sz w:val="24"/>
          <w:szCs w:val="24"/>
        </w:rPr>
        <w:t xml:space="preserve">study </w:t>
      </w:r>
      <w:r w:rsidR="00134F36">
        <w:rPr>
          <w:color w:val="000000"/>
          <w:sz w:val="24"/>
          <w:szCs w:val="24"/>
        </w:rPr>
        <w:t xml:space="preserve">of </w:t>
      </w:r>
      <w:r w:rsidRPr="002118E9">
        <w:rPr>
          <w:color w:val="000000"/>
          <w:sz w:val="24"/>
          <w:szCs w:val="24"/>
        </w:rPr>
        <w:t xml:space="preserve">patients </w:t>
      </w:r>
      <w:r>
        <w:rPr>
          <w:color w:val="000000"/>
          <w:sz w:val="24"/>
          <w:szCs w:val="24"/>
        </w:rPr>
        <w:t>with OUD</w:t>
      </w:r>
      <w:r w:rsidR="00C20B73">
        <w:rPr>
          <w:color w:val="000000"/>
          <w:sz w:val="24"/>
          <w:szCs w:val="24"/>
        </w:rPr>
        <w:t>,</w:t>
      </w:r>
      <w:r>
        <w:rPr>
          <w:color w:val="000000"/>
          <w:sz w:val="24"/>
          <w:szCs w:val="24"/>
        </w:rPr>
        <w:t xml:space="preserve"> </w:t>
      </w:r>
      <w:r w:rsidR="00C20B73">
        <w:rPr>
          <w:color w:val="000000"/>
          <w:sz w:val="24"/>
          <w:szCs w:val="24"/>
        </w:rPr>
        <w:t xml:space="preserve">those </w:t>
      </w:r>
      <w:r w:rsidRPr="002118E9">
        <w:rPr>
          <w:color w:val="000000"/>
          <w:sz w:val="24"/>
          <w:szCs w:val="24"/>
        </w:rPr>
        <w:t xml:space="preserve">treated with </w:t>
      </w:r>
      <w:r>
        <w:rPr>
          <w:color w:val="000000"/>
          <w:sz w:val="24"/>
          <w:szCs w:val="24"/>
        </w:rPr>
        <w:t xml:space="preserve">the </w:t>
      </w:r>
      <w:r w:rsidRPr="002118E9">
        <w:rPr>
          <w:color w:val="000000"/>
          <w:sz w:val="24"/>
          <w:szCs w:val="24"/>
        </w:rPr>
        <w:t xml:space="preserve">reSET-O </w:t>
      </w:r>
      <w:r>
        <w:rPr>
          <w:color w:val="000000"/>
          <w:sz w:val="24"/>
          <w:szCs w:val="24"/>
        </w:rPr>
        <w:t>PDT</w:t>
      </w:r>
      <w:r w:rsidR="00C20B73">
        <w:rPr>
          <w:color w:val="000000"/>
          <w:sz w:val="24"/>
          <w:szCs w:val="24"/>
        </w:rPr>
        <w:t xml:space="preserve"> </w:t>
      </w:r>
      <w:r w:rsidR="00F067FC">
        <w:rPr>
          <w:color w:val="000000"/>
          <w:sz w:val="24"/>
          <w:szCs w:val="24"/>
        </w:rPr>
        <w:t xml:space="preserve">had greater use of clinician services, </w:t>
      </w:r>
      <w:r w:rsidR="0033570A">
        <w:rPr>
          <w:color w:val="000000"/>
          <w:sz w:val="24"/>
          <w:szCs w:val="24"/>
        </w:rPr>
        <w:t>experienced</w:t>
      </w:r>
      <w:r w:rsidR="00C20B73">
        <w:rPr>
          <w:color w:val="000000"/>
          <w:sz w:val="24"/>
          <w:szCs w:val="24"/>
        </w:rPr>
        <w:t xml:space="preserve"> </w:t>
      </w:r>
      <w:r w:rsidR="00F067FC">
        <w:rPr>
          <w:color w:val="000000"/>
          <w:sz w:val="24"/>
          <w:szCs w:val="24"/>
        </w:rPr>
        <w:t>clinically</w:t>
      </w:r>
      <w:r w:rsidR="00C20B73">
        <w:rPr>
          <w:color w:val="000000"/>
          <w:sz w:val="24"/>
          <w:szCs w:val="24"/>
        </w:rPr>
        <w:t xml:space="preserve"> </w:t>
      </w:r>
      <w:r w:rsidR="00F067FC">
        <w:rPr>
          <w:color w:val="000000"/>
          <w:sz w:val="24"/>
          <w:szCs w:val="24"/>
        </w:rPr>
        <w:t>meaningful increases in buprenorphine adherence,</w:t>
      </w:r>
      <w:r w:rsidR="00F067FC" w:rsidRPr="002118E9">
        <w:rPr>
          <w:color w:val="000000"/>
          <w:sz w:val="24"/>
          <w:szCs w:val="24"/>
        </w:rPr>
        <w:t xml:space="preserve"> </w:t>
      </w:r>
      <w:r w:rsidR="00F067FC">
        <w:rPr>
          <w:color w:val="000000"/>
          <w:sz w:val="24"/>
          <w:szCs w:val="24"/>
        </w:rPr>
        <w:t xml:space="preserve">and </w:t>
      </w:r>
      <w:r w:rsidR="0033570A">
        <w:rPr>
          <w:color w:val="000000"/>
          <w:sz w:val="24"/>
          <w:szCs w:val="24"/>
        </w:rPr>
        <w:t>incurred</w:t>
      </w:r>
      <w:r w:rsidR="00C20B73">
        <w:rPr>
          <w:color w:val="000000"/>
          <w:sz w:val="24"/>
          <w:szCs w:val="24"/>
        </w:rPr>
        <w:t xml:space="preserve"> </w:t>
      </w:r>
      <w:r w:rsidR="00F067FC">
        <w:rPr>
          <w:color w:val="000000"/>
          <w:sz w:val="24"/>
          <w:szCs w:val="24"/>
        </w:rPr>
        <w:t xml:space="preserve">lower overall costs, which were driven by </w:t>
      </w:r>
      <w:r>
        <w:rPr>
          <w:color w:val="000000"/>
          <w:sz w:val="24"/>
          <w:szCs w:val="24"/>
        </w:rPr>
        <w:t xml:space="preserve">clinically </w:t>
      </w:r>
      <w:r w:rsidR="000B5EBD">
        <w:rPr>
          <w:color w:val="000000"/>
          <w:sz w:val="24"/>
          <w:szCs w:val="24"/>
        </w:rPr>
        <w:t>meaningful</w:t>
      </w:r>
      <w:r w:rsidR="000B5EBD" w:rsidRPr="002118E9">
        <w:rPr>
          <w:color w:val="000000"/>
          <w:sz w:val="24"/>
          <w:szCs w:val="24"/>
        </w:rPr>
        <w:t xml:space="preserve"> </w:t>
      </w:r>
      <w:r w:rsidRPr="002118E9">
        <w:rPr>
          <w:color w:val="000000"/>
          <w:sz w:val="24"/>
          <w:szCs w:val="24"/>
        </w:rPr>
        <w:t xml:space="preserve">decreases in unique hospital encounters, inpatient stays, </w:t>
      </w:r>
      <w:r w:rsidR="003961CB">
        <w:rPr>
          <w:color w:val="000000"/>
          <w:sz w:val="24"/>
          <w:szCs w:val="24"/>
        </w:rPr>
        <w:t xml:space="preserve">hospital readmissions, ICU stays </w:t>
      </w:r>
      <w:r w:rsidRPr="002118E9">
        <w:rPr>
          <w:color w:val="000000"/>
          <w:sz w:val="24"/>
          <w:szCs w:val="24"/>
        </w:rPr>
        <w:t>and ED visits</w:t>
      </w:r>
      <w:r w:rsidR="003961CB">
        <w:rPr>
          <w:color w:val="000000"/>
          <w:sz w:val="24"/>
          <w:szCs w:val="24"/>
        </w:rPr>
        <w:t>.</w:t>
      </w:r>
      <w:r>
        <w:rPr>
          <w:color w:val="000000"/>
          <w:sz w:val="24"/>
          <w:szCs w:val="24"/>
        </w:rPr>
        <w:t xml:space="preserve"> </w:t>
      </w:r>
      <w:r w:rsidRPr="002118E9">
        <w:rPr>
          <w:color w:val="000000"/>
          <w:sz w:val="24"/>
          <w:szCs w:val="24"/>
        </w:rPr>
        <w:t xml:space="preserve">These findings are consistent with previously-published analyses of this </w:t>
      </w:r>
      <w:r w:rsidRPr="002118E9">
        <w:rPr>
          <w:color w:val="000000"/>
          <w:sz w:val="24"/>
          <w:szCs w:val="24"/>
        </w:rPr>
        <w:lastRenderedPageBreak/>
        <w:t>PDT evaluating 6-month</w:t>
      </w:r>
      <w:r w:rsidR="00825894">
        <w:rPr>
          <w:color w:val="000000"/>
          <w:sz w:val="24"/>
          <w:szCs w:val="24"/>
        </w:rPr>
        <w:t xml:space="preserve"> (pre-post)</w:t>
      </w:r>
      <w:r w:rsidR="00681087" w:rsidRPr="002118E9">
        <w:rPr>
          <w:color w:val="000000"/>
          <w:sz w:val="24"/>
          <w:szCs w:val="24"/>
        </w:rPr>
        <w:fldChar w:fldCharType="begin"/>
      </w:r>
      <w:r w:rsidR="004838A0">
        <w:rPr>
          <w:color w:val="000000"/>
          <w:sz w:val="24"/>
          <w:szCs w:val="24"/>
        </w:rPr>
        <w:instrText xml:space="preserve"> ADDIN EN.CITE &lt;EndNote&gt;&lt;Cite&gt;&lt;Author&gt;Velez&lt;/Author&gt;&lt;Year&gt;2021&lt;/Year&gt;&lt;RecNum&gt;517&lt;/RecNum&gt;&lt;DisplayText&gt;[25]&lt;/DisplayText&gt;&lt;record&gt;&lt;rec-number&gt;517&lt;/rec-number&gt;&lt;foreign-keys&gt;&lt;key app="EN" db-id="9z2t9av26xzf2yew5tv5wsvd55zdwzx0t5rr" timestamp="1630421047"&gt;517&lt;/key&gt;&lt;/foreign-keys&gt;&lt;ref-type name="Journal Article"&gt;17&lt;/ref-type&gt;&lt;contributors&gt;&lt;authors&gt;&lt;author&gt;Velez, F. F.&lt;/author&gt;&lt;author&gt;Colman, S.&lt;/author&gt;&lt;author&gt;Kauffman, L.&lt;/author&gt;&lt;author&gt;Anastassopoulos, K.&lt;/author&gt;&lt;author&gt;Murphy, S.&lt;/author&gt;&lt;author&gt;Maricich, Y.&lt;/author&gt;&lt;/authors&gt;&lt;/contributors&gt;&lt;auth-address&gt;Pear Therapeutics Inc, Health Economics and Real-World Evidence, Boston, MA, USA.&amp;#xD;Covance Inc, Gaithersburg, MD, USA.&amp;#xD;Department of Healthcare Policy &amp;amp; Research, Weill Cornell Medical College, New York, USA.&lt;/auth-address&gt;&lt;titles&gt;&lt;title&gt;Real-world changes in US health system hospital-based services following treatment with a prescription digital therapeutic for opioid use disorder&lt;/title&gt;&lt;secondary-title&gt;Hosp Pract (1995)&lt;/secondary-title&gt;&lt;/titles&gt;&lt;periodical&gt;&lt;full-title&gt;Hosp Pract (1995)&lt;/full-title&gt;&lt;/periodical&gt;&lt;pages&gt;1-7&lt;/pages&gt;&lt;edition&gt;2021/07/20&lt;/edition&gt;&lt;keywords&gt;&lt;keyword&gt;Cm&lt;/keyword&gt;&lt;keyword&gt;Cra&lt;/keyword&gt;&lt;keyword&gt;Moud&lt;/keyword&gt;&lt;keyword&gt;Oud&lt;/keyword&gt;&lt;keyword&gt;Opioid use disorder&lt;/keyword&gt;&lt;keyword&gt;buprenorphine&lt;/keyword&gt;&lt;keyword&gt;community reinforcement approach&lt;/keyword&gt;&lt;keyword&gt;contingency management&lt;/keyword&gt;&lt;keyword&gt;medications for opioid use disorder&lt;/keyword&gt;&lt;keyword&gt;prescription digital therapeutic&lt;/keyword&gt;&lt;/keywords&gt;&lt;dates&gt;&lt;year&gt;2021&lt;/year&gt;&lt;pub-dates&gt;&lt;date&gt;Aug 6&lt;/date&gt;&lt;/pub-dates&gt;&lt;/dates&gt;&lt;isbn&gt;2154-8331 (Print)&amp;#xD;2154-8331 (Linking)&lt;/isbn&gt;&lt;accession-num&gt;34275401&lt;/accession-num&gt;&lt;urls&gt;&lt;related-urls&gt;&lt;url&gt;https://www.ncbi.nlm.nih.gov/pubmed/34275401&lt;/url&gt;&lt;/related-urls&gt;&lt;/urls&gt;&lt;electronic-resource-num&gt;10.1080/21548331.2021.1956256&lt;/electronic-resource-num&gt;&lt;/record&gt;&lt;/Cite&gt;&lt;/EndNote&gt;</w:instrText>
      </w:r>
      <w:r w:rsidR="00681087" w:rsidRPr="002118E9">
        <w:rPr>
          <w:color w:val="000000"/>
          <w:sz w:val="24"/>
          <w:szCs w:val="24"/>
        </w:rPr>
        <w:fldChar w:fldCharType="separate"/>
      </w:r>
      <w:r w:rsidR="004838A0">
        <w:rPr>
          <w:noProof/>
          <w:color w:val="000000"/>
          <w:sz w:val="24"/>
          <w:szCs w:val="24"/>
        </w:rPr>
        <w:t>[</w:t>
      </w:r>
      <w:hyperlink w:anchor="_ENREF_25" w:tooltip="Velez, 2021 #517" w:history="1">
        <w:r w:rsidR="00C20B73">
          <w:rPr>
            <w:noProof/>
            <w:color w:val="000000"/>
            <w:sz w:val="24"/>
            <w:szCs w:val="24"/>
          </w:rPr>
          <w:t>25</w:t>
        </w:r>
      </w:hyperlink>
      <w:r w:rsidR="004838A0">
        <w:rPr>
          <w:noProof/>
          <w:color w:val="000000"/>
          <w:sz w:val="24"/>
          <w:szCs w:val="24"/>
        </w:rPr>
        <w:t>]</w:t>
      </w:r>
      <w:r w:rsidR="00681087" w:rsidRPr="002118E9">
        <w:rPr>
          <w:color w:val="000000"/>
          <w:sz w:val="24"/>
          <w:szCs w:val="24"/>
        </w:rPr>
        <w:fldChar w:fldCharType="end"/>
      </w:r>
      <w:r w:rsidRPr="002118E9">
        <w:rPr>
          <w:color w:val="000000"/>
          <w:sz w:val="24"/>
          <w:szCs w:val="24"/>
        </w:rPr>
        <w:t xml:space="preserve"> and 9-month</w:t>
      </w:r>
      <w:r w:rsidR="00825894">
        <w:rPr>
          <w:color w:val="000000"/>
          <w:sz w:val="24"/>
          <w:szCs w:val="24"/>
        </w:rPr>
        <w:t xml:space="preserve"> (vs. control)</w:t>
      </w:r>
      <w:r w:rsidR="00681087" w:rsidRPr="002118E9">
        <w:rPr>
          <w:color w:val="000000"/>
          <w:sz w:val="24"/>
          <w:szCs w:val="24"/>
        </w:rPr>
        <w:fldChar w:fldCharType="begin"/>
      </w:r>
      <w:r w:rsidR="004838A0">
        <w:rPr>
          <w:color w:val="000000"/>
          <w:sz w:val="24"/>
          <w:szCs w:val="24"/>
        </w:rPr>
        <w:instrText xml:space="preserve"> ADDIN EN.CITE &lt;EndNote&gt;&lt;Cite&gt;&lt;Author&gt;Velez F&lt;/Author&gt;&lt;Year&gt;2021&lt;/Year&gt;&lt;RecNum&gt;532&lt;/RecNum&gt;&lt;DisplayText&gt;[20]&lt;/DisplayText&gt;&lt;record&gt;&lt;rec-number&gt;532&lt;/rec-number&gt;&lt;foreign-keys&gt;&lt;key app="EN" db-id="9z2t9av26xzf2yew5tv5wsvd55zdwzx0t5rr" timestamp="1636559067"&gt;532&lt;/key&gt;&lt;/foreign-keys&gt;&lt;ref-type name="Journal Article"&gt;17&lt;/ref-type&gt;&lt;contributors&gt;&lt;authors&gt;&lt;author&gt;Velez F,&lt;/author&gt;&lt;author&gt;Colman S,&lt;/author&gt;&lt;author&gt;Kauffman L,&lt;/author&gt;&lt;author&gt;et al., &lt;/author&gt;&lt;/authors&gt;&lt;/contributors&gt;&lt;titles&gt;&lt;title&gt;Comparison of healthcare resource utilization between patients who engaged or did not engage with a prescription digital therapeutic for opioid use disorder&lt;/title&gt;&lt;secondary-title&gt;ClinicoEconomics and Outcomes Research&lt;/secondary-title&gt;&lt;/titles&gt;&lt;periodical&gt;&lt;full-title&gt;ClinicoEconomics and Outcomes Research&lt;/full-title&gt;&lt;/periodical&gt;&lt;pages&gt;909-916&lt;/pages&gt;&lt;volume&gt;13&lt;/volume&gt;&lt;dates&gt;&lt;year&gt;2021&lt;/year&gt;&lt;/dates&gt;&lt;urls&gt;&lt;/urls&gt;&lt;/record&gt;&lt;/Cite&gt;&lt;/EndNote&gt;</w:instrText>
      </w:r>
      <w:r w:rsidR="00681087" w:rsidRPr="002118E9">
        <w:rPr>
          <w:color w:val="000000"/>
          <w:sz w:val="24"/>
          <w:szCs w:val="24"/>
        </w:rPr>
        <w:fldChar w:fldCharType="separate"/>
      </w:r>
      <w:r w:rsidR="004838A0">
        <w:rPr>
          <w:noProof/>
          <w:color w:val="000000"/>
          <w:sz w:val="24"/>
          <w:szCs w:val="24"/>
        </w:rPr>
        <w:t>[</w:t>
      </w:r>
      <w:hyperlink w:anchor="_ENREF_20" w:tooltip="Velez F, 2021 #532" w:history="1">
        <w:r w:rsidR="00C20B73">
          <w:rPr>
            <w:noProof/>
            <w:color w:val="000000"/>
            <w:sz w:val="24"/>
            <w:szCs w:val="24"/>
          </w:rPr>
          <w:t>20</w:t>
        </w:r>
      </w:hyperlink>
      <w:r w:rsidR="004838A0">
        <w:rPr>
          <w:noProof/>
          <w:color w:val="000000"/>
          <w:sz w:val="24"/>
          <w:szCs w:val="24"/>
        </w:rPr>
        <w:t>]</w:t>
      </w:r>
      <w:r w:rsidR="00681087" w:rsidRPr="002118E9">
        <w:rPr>
          <w:color w:val="000000"/>
          <w:sz w:val="24"/>
          <w:szCs w:val="24"/>
        </w:rPr>
        <w:fldChar w:fldCharType="end"/>
      </w:r>
      <w:r w:rsidRPr="002118E9">
        <w:rPr>
          <w:color w:val="000000"/>
          <w:sz w:val="24"/>
          <w:szCs w:val="24"/>
        </w:rPr>
        <w:t xml:space="preserve"> HCRU outcomes, </w:t>
      </w:r>
      <w:r w:rsidR="003961CB">
        <w:rPr>
          <w:color w:val="000000"/>
          <w:sz w:val="24"/>
          <w:szCs w:val="24"/>
        </w:rPr>
        <w:t>and provide evidence of clinically</w:t>
      </w:r>
      <w:r w:rsidR="00ED0403">
        <w:rPr>
          <w:color w:val="000000"/>
          <w:sz w:val="24"/>
          <w:szCs w:val="24"/>
        </w:rPr>
        <w:t xml:space="preserve"> </w:t>
      </w:r>
      <w:r w:rsidR="003961CB">
        <w:rPr>
          <w:color w:val="000000"/>
          <w:sz w:val="24"/>
          <w:szCs w:val="24"/>
        </w:rPr>
        <w:t xml:space="preserve">meaningful and statistically </w:t>
      </w:r>
      <w:r w:rsidR="003961CB" w:rsidRPr="0094446C">
        <w:rPr>
          <w:color w:val="000000"/>
          <w:sz w:val="24"/>
          <w:szCs w:val="24"/>
        </w:rPr>
        <w:t xml:space="preserve">significant </w:t>
      </w:r>
      <w:r w:rsidRPr="0094446C">
        <w:rPr>
          <w:color w:val="000000"/>
          <w:sz w:val="24"/>
          <w:szCs w:val="24"/>
        </w:rPr>
        <w:t>durability of effect</w:t>
      </w:r>
      <w:r w:rsidR="003961CB" w:rsidRPr="0094446C">
        <w:rPr>
          <w:sz w:val="24"/>
          <w:szCs w:val="24"/>
        </w:rPr>
        <w:fldChar w:fldCharType="begin"/>
      </w:r>
      <w:r w:rsidR="004838A0">
        <w:rPr>
          <w:sz w:val="24"/>
          <w:szCs w:val="24"/>
        </w:rPr>
        <w:instrText xml:space="preserve"> ADDIN EN.CITE &lt;EndNote&gt;&lt;Cite&gt;&lt;Author&gt;Velez&lt;/Author&gt;&lt;Year&gt;2021&lt;/Year&gt;&lt;RecNum&gt;517&lt;/RecNum&gt;&lt;DisplayText&gt;[25]&lt;/DisplayText&gt;&lt;record&gt;&lt;rec-number&gt;517&lt;/rec-number&gt;&lt;foreign-keys&gt;&lt;key app="EN" db-id="9z2t9av26xzf2yew5tv5wsvd55zdwzx0t5rr" timestamp="1630421047"&gt;517&lt;/key&gt;&lt;/foreign-keys&gt;&lt;ref-type name="Journal Article"&gt;17&lt;/ref-type&gt;&lt;contributors&gt;&lt;authors&gt;&lt;author&gt;Velez, F. F.&lt;/author&gt;&lt;author&gt;Colman, S.&lt;/author&gt;&lt;author&gt;Kauffman, L.&lt;/author&gt;&lt;author&gt;Anastassopoulos, K.&lt;/author&gt;&lt;author&gt;Murphy, S.&lt;/author&gt;&lt;author&gt;Maricich, Y.&lt;/author&gt;&lt;/authors&gt;&lt;/contributors&gt;&lt;auth-address&gt;Pear Therapeutics Inc, Health Economics and Real-World Evidence, Boston, MA, USA.&amp;#xD;Covance Inc, Gaithersburg, MD, USA.&amp;#xD;Department of Healthcare Policy &amp;amp; Research, Weill Cornell Medical College, New York, USA.&lt;/auth-address&gt;&lt;titles&gt;&lt;title&gt;Real-world changes in US health system hospital-based services following treatment with a prescription digital therapeutic for opioid use disorder&lt;/title&gt;&lt;secondary-title&gt;Hosp Pract (1995)&lt;/secondary-title&gt;&lt;/titles&gt;&lt;periodical&gt;&lt;full-title&gt;Hosp Pract (1995)&lt;/full-title&gt;&lt;/periodical&gt;&lt;pages&gt;1-7&lt;/pages&gt;&lt;edition&gt;2021/07/20&lt;/edition&gt;&lt;keywords&gt;&lt;keyword&gt;Cm&lt;/keyword&gt;&lt;keyword&gt;Cra&lt;/keyword&gt;&lt;keyword&gt;Moud&lt;/keyword&gt;&lt;keyword&gt;Oud&lt;/keyword&gt;&lt;keyword&gt;Opioid use disorder&lt;/keyword&gt;&lt;keyword&gt;buprenorphine&lt;/keyword&gt;&lt;keyword&gt;community reinforcement approach&lt;/keyword&gt;&lt;keyword&gt;contingency management&lt;/keyword&gt;&lt;keyword&gt;medications for opioid use disorder&lt;/keyword&gt;&lt;keyword&gt;prescription digital therapeutic&lt;/keyword&gt;&lt;/keywords&gt;&lt;dates&gt;&lt;year&gt;2021&lt;/year&gt;&lt;pub-dates&gt;&lt;date&gt;Aug 6&lt;/date&gt;&lt;/pub-dates&gt;&lt;/dates&gt;&lt;isbn&gt;2154-8331 (Print)&amp;#xD;2154-8331 (Linking)&lt;/isbn&gt;&lt;accession-num&gt;34275401&lt;/accession-num&gt;&lt;urls&gt;&lt;related-urls&gt;&lt;url&gt;https://www.ncbi.nlm.nih.gov/pubmed/34275401&lt;/url&gt;&lt;/related-urls&gt;&lt;/urls&gt;&lt;electronic-resource-num&gt;10.1080/21548331.2021.1956256&lt;/electronic-resource-num&gt;&lt;/record&gt;&lt;/Cite&gt;&lt;/EndNote&gt;</w:instrText>
      </w:r>
      <w:r w:rsidR="003961CB" w:rsidRPr="0094446C">
        <w:rPr>
          <w:sz w:val="24"/>
          <w:szCs w:val="24"/>
        </w:rPr>
        <w:fldChar w:fldCharType="separate"/>
      </w:r>
      <w:r w:rsidR="004838A0">
        <w:rPr>
          <w:noProof/>
          <w:sz w:val="24"/>
          <w:szCs w:val="24"/>
        </w:rPr>
        <w:t>[</w:t>
      </w:r>
      <w:hyperlink w:anchor="_ENREF_25" w:tooltip="Velez, 2021 #517" w:history="1">
        <w:r w:rsidR="00C20B73">
          <w:rPr>
            <w:noProof/>
            <w:sz w:val="24"/>
            <w:szCs w:val="24"/>
          </w:rPr>
          <w:t>25</w:t>
        </w:r>
      </w:hyperlink>
      <w:r w:rsidR="004838A0">
        <w:rPr>
          <w:noProof/>
          <w:sz w:val="24"/>
          <w:szCs w:val="24"/>
        </w:rPr>
        <w:t>]</w:t>
      </w:r>
      <w:r w:rsidR="003961CB" w:rsidRPr="0094446C">
        <w:rPr>
          <w:sz w:val="24"/>
          <w:szCs w:val="24"/>
        </w:rPr>
        <w:fldChar w:fldCharType="end"/>
      </w:r>
      <w:r w:rsidR="004838A0">
        <w:rPr>
          <w:sz w:val="24"/>
          <w:szCs w:val="24"/>
        </w:rPr>
        <w:t>.</w:t>
      </w:r>
    </w:p>
    <w:p w14:paraId="21D82B8A" w14:textId="2CF2DFE9" w:rsidR="00F23A2E" w:rsidRPr="007F30FE" w:rsidRDefault="007E445B" w:rsidP="00582F66">
      <w:pPr>
        <w:pStyle w:val="CommentText"/>
        <w:spacing w:line="480" w:lineRule="auto"/>
        <w:ind w:right="-180" w:firstLine="720"/>
        <w:rPr>
          <w:sz w:val="24"/>
          <w:szCs w:val="24"/>
        </w:rPr>
      </w:pPr>
      <w:r w:rsidRPr="007D0EA6">
        <w:rPr>
          <w:sz w:val="24"/>
          <w:szCs w:val="24"/>
        </w:rPr>
        <w:t>Also, c</w:t>
      </w:r>
      <w:r w:rsidR="007F30FE" w:rsidRPr="007D0EA6">
        <w:rPr>
          <w:sz w:val="24"/>
          <w:szCs w:val="24"/>
        </w:rPr>
        <w:t>onsistent with previous analyses</w:t>
      </w:r>
      <w:r w:rsidR="00951A16" w:rsidRPr="007D0EA6">
        <w:rPr>
          <w:sz w:val="24"/>
          <w:szCs w:val="24"/>
        </w:rPr>
        <w:fldChar w:fldCharType="begin"/>
      </w:r>
      <w:r w:rsidR="004838A0">
        <w:rPr>
          <w:sz w:val="24"/>
          <w:szCs w:val="24"/>
        </w:rPr>
        <w:instrText xml:space="preserve"> ADDIN EN.CITE &lt;EndNote&gt;&lt;Cite&gt;&lt;Author&gt;Velez&lt;/Author&gt;&lt;Year&gt;2021&lt;/Year&gt;&lt;RecNum&gt;526&lt;/RecNum&gt;&lt;DisplayText&gt;[26]&lt;/DisplayText&gt;&lt;record&gt;&lt;rec-number&gt;526&lt;/rec-number&gt;&lt;foreign-keys&gt;&lt;key app="EN" db-id="9z2t9av26xzf2yew5tv5wsvd55zdwzx0t5rr" timestamp="1636136799"&gt;526&lt;/key&gt;&lt;/foreign-keys&gt;&lt;ref-type name="Journal Article"&gt;17&lt;/ref-type&gt;&lt;contributors&gt;&lt;authors&gt;&lt;author&gt;Velez, F. F.&lt;/author&gt;&lt;author&gt;Ruetsch, C.&lt;/author&gt;&lt;author&gt;Maricich, Y.&lt;/author&gt;&lt;/authors&gt;&lt;/contributors&gt;&lt;auth-address&gt;Medical Affairs, Pear Therapeutics, Pear Therapeutics, Inc, Boston, MA, USA.&amp;#xD;President and CEO, Health Analytics, Health Analytics, Columbia, MD, USA.&lt;/auth-address&gt;&lt;titles&gt;&lt;title&gt;Evidence of long-term real-world reduction in healthcare resource utilization following treatment of opioid use disorder with reSET-O, a novel prescription digital therapeutic&lt;/title&gt;&lt;secondary-title&gt;Expert Rev Pharmacoecon Outcomes Res&lt;/secondary-title&gt;&lt;/titles&gt;&lt;periodical&gt;&lt;full-title&gt;Expert Rev Pharmacoecon Outcomes Res&lt;/full-title&gt;&lt;/periodical&gt;&lt;pages&gt;519-520&lt;/pages&gt;&lt;volume&gt;21&lt;/volume&gt;&lt;number&gt;4&lt;/number&gt;&lt;edition&gt;2021/06/22&lt;/edition&gt;&lt;keywords&gt;&lt;keyword&gt;*Digital therapeutic&lt;/keyword&gt;&lt;keyword&gt;*pdt&lt;/keyword&gt;&lt;keyword&gt;*neurobehavioral therapy&lt;/keyword&gt;&lt;keyword&gt;*opioid epidemic&lt;/keyword&gt;&lt;keyword&gt;*opioid use disorder&lt;/keyword&gt;&lt;keyword&gt;*prescription digital therapeutic&lt;/keyword&gt;&lt;keyword&gt;*reSET-O&lt;/keyword&gt;&lt;/keywords&gt;&lt;dates&gt;&lt;year&gt;2021&lt;/year&gt;&lt;pub-dates&gt;&lt;date&gt;Aug&lt;/date&gt;&lt;/pub-dates&gt;&lt;/dates&gt;&lt;isbn&gt;1744-8379 (Electronic)&amp;#xD;1473-7167 (Linking)&lt;/isbn&gt;&lt;accession-num&gt;34148473&lt;/accession-num&gt;&lt;urls&gt;&lt;related-urls&gt;&lt;url&gt;https://www.ncbi.nlm.nih.gov/pubmed/34148473&lt;/url&gt;&lt;/related-urls&gt;&lt;/urls&gt;&lt;electronic-resource-num&gt;10.1080/14737167.2021.1939687&lt;/electronic-resource-num&gt;&lt;/record&gt;&lt;/Cite&gt;&lt;/EndNote&gt;</w:instrText>
      </w:r>
      <w:r w:rsidR="00951A16" w:rsidRPr="007D0EA6">
        <w:rPr>
          <w:sz w:val="24"/>
          <w:szCs w:val="24"/>
        </w:rPr>
        <w:fldChar w:fldCharType="separate"/>
      </w:r>
      <w:r w:rsidR="004838A0">
        <w:rPr>
          <w:noProof/>
          <w:sz w:val="24"/>
          <w:szCs w:val="24"/>
        </w:rPr>
        <w:t>[</w:t>
      </w:r>
      <w:hyperlink w:anchor="_ENREF_26" w:tooltip="Velez, 2021 #526" w:history="1">
        <w:r w:rsidR="00C20B73">
          <w:rPr>
            <w:noProof/>
            <w:sz w:val="24"/>
            <w:szCs w:val="24"/>
          </w:rPr>
          <w:t>26</w:t>
        </w:r>
      </w:hyperlink>
      <w:r w:rsidR="004838A0">
        <w:rPr>
          <w:noProof/>
          <w:sz w:val="24"/>
          <w:szCs w:val="24"/>
        </w:rPr>
        <w:t>]</w:t>
      </w:r>
      <w:r w:rsidR="00951A16" w:rsidRPr="007D0EA6">
        <w:rPr>
          <w:sz w:val="24"/>
          <w:szCs w:val="24"/>
        </w:rPr>
        <w:fldChar w:fldCharType="end"/>
      </w:r>
      <w:r w:rsidR="007F30FE" w:rsidRPr="007D0EA6">
        <w:rPr>
          <w:sz w:val="24"/>
          <w:szCs w:val="24"/>
        </w:rPr>
        <w:t xml:space="preserve">, reductions in healthcare utilization and costs over the 12-month period were greater </w:t>
      </w:r>
      <w:r w:rsidR="00951A16" w:rsidRPr="007D0EA6">
        <w:rPr>
          <w:sz w:val="24"/>
          <w:szCs w:val="24"/>
        </w:rPr>
        <w:t xml:space="preserve">in the </w:t>
      </w:r>
      <w:r w:rsidR="00ED0403" w:rsidRPr="007D0EA6">
        <w:rPr>
          <w:sz w:val="24"/>
          <w:szCs w:val="24"/>
        </w:rPr>
        <w:t xml:space="preserve">reSET-O cohort </w:t>
      </w:r>
      <w:r w:rsidR="007F30FE" w:rsidRPr="007D0EA6">
        <w:rPr>
          <w:sz w:val="24"/>
          <w:szCs w:val="24"/>
        </w:rPr>
        <w:t>vs. control</w:t>
      </w:r>
      <w:r w:rsidR="001A2769">
        <w:rPr>
          <w:sz w:val="24"/>
          <w:szCs w:val="24"/>
        </w:rPr>
        <w:t>s</w:t>
      </w:r>
      <w:r w:rsidR="007F30FE" w:rsidRPr="007D0EA6">
        <w:rPr>
          <w:sz w:val="24"/>
          <w:szCs w:val="24"/>
        </w:rPr>
        <w:t xml:space="preserve"> (-$</w:t>
      </w:r>
      <w:r w:rsidR="001A2769">
        <w:rPr>
          <w:sz w:val="24"/>
          <w:szCs w:val="24"/>
        </w:rPr>
        <w:t>2</w:t>
      </w:r>
      <w:r w:rsidR="009F7AAD" w:rsidRPr="009514C3">
        <w:rPr>
          <w:sz w:val="24"/>
          <w:szCs w:val="24"/>
        </w:rPr>
        <w:t>,</w:t>
      </w:r>
      <w:r w:rsidR="001A2769">
        <w:rPr>
          <w:sz w:val="24"/>
          <w:szCs w:val="24"/>
        </w:rPr>
        <w:t>791</w:t>
      </w:r>
      <w:r w:rsidR="007F30FE" w:rsidRPr="007D0EA6">
        <w:rPr>
          <w:sz w:val="24"/>
          <w:szCs w:val="24"/>
        </w:rPr>
        <w:t>)</w:t>
      </w:r>
      <w:r w:rsidR="007F30FE" w:rsidRPr="00A1049F">
        <w:rPr>
          <w:sz w:val="24"/>
          <w:szCs w:val="24"/>
        </w:rPr>
        <w:t>. A subgroup</w:t>
      </w:r>
      <w:r w:rsidR="007F30FE" w:rsidRPr="007F30FE">
        <w:rPr>
          <w:sz w:val="24"/>
          <w:szCs w:val="24"/>
        </w:rPr>
        <w:t xml:space="preserve"> analysis of Medicaid patients vs. controls showed an even greater difference in favor of reSET-O treated patients </w:t>
      </w:r>
      <w:r w:rsidR="007F30FE" w:rsidRPr="00C07AD5">
        <w:rPr>
          <w:sz w:val="24"/>
          <w:szCs w:val="24"/>
        </w:rPr>
        <w:t>(-$</w:t>
      </w:r>
      <w:r w:rsidR="00B47C14">
        <w:rPr>
          <w:sz w:val="24"/>
          <w:szCs w:val="24"/>
        </w:rPr>
        <w:t>3,</w:t>
      </w:r>
      <w:r w:rsidR="001A2769">
        <w:rPr>
          <w:sz w:val="24"/>
          <w:szCs w:val="24"/>
        </w:rPr>
        <w:t>832</w:t>
      </w:r>
      <w:r w:rsidR="007F30FE" w:rsidRPr="007F30FE">
        <w:rPr>
          <w:sz w:val="24"/>
          <w:szCs w:val="24"/>
        </w:rPr>
        <w:t xml:space="preserve">/patient over 12 months), which carries important financial implications for </w:t>
      </w:r>
      <w:r w:rsidR="00951A16">
        <w:rPr>
          <w:sz w:val="24"/>
          <w:szCs w:val="24"/>
        </w:rPr>
        <w:t>s</w:t>
      </w:r>
      <w:r w:rsidR="007F30FE" w:rsidRPr="007F30FE">
        <w:rPr>
          <w:sz w:val="24"/>
          <w:szCs w:val="24"/>
        </w:rPr>
        <w:t>tates as they disproportionately bear the burden of the OUD epidemic and its ever-increasing costs.</w:t>
      </w:r>
      <w:r w:rsidR="00F50BC5" w:rsidRPr="007F30FE">
        <w:rPr>
          <w:sz w:val="24"/>
          <w:szCs w:val="24"/>
        </w:rPr>
        <w:t xml:space="preserve"> </w:t>
      </w:r>
    </w:p>
    <w:p w14:paraId="7D0B1775" w14:textId="06A2CD3F" w:rsidR="00F23A2E" w:rsidRPr="009F7C3F" w:rsidRDefault="00BB641F" w:rsidP="003961CB">
      <w:pPr>
        <w:pBdr>
          <w:top w:val="nil"/>
          <w:left w:val="nil"/>
          <w:bottom w:val="nil"/>
          <w:right w:val="nil"/>
          <w:between w:val="nil"/>
        </w:pBdr>
        <w:spacing w:line="480" w:lineRule="auto"/>
        <w:ind w:firstLine="720"/>
        <w:rPr>
          <w:color w:val="000000"/>
        </w:rPr>
      </w:pPr>
      <w:r w:rsidRPr="007A603E">
        <w:t xml:space="preserve">The observed increases in the use of </w:t>
      </w:r>
      <w:r w:rsidR="007D0EA6">
        <w:t xml:space="preserve">outpatient, </w:t>
      </w:r>
      <w:r w:rsidRPr="007A603E">
        <w:t xml:space="preserve">case management and psychiatric services </w:t>
      </w:r>
      <w:r w:rsidR="007A603E">
        <w:t>and alcohol</w:t>
      </w:r>
      <w:r w:rsidR="007D0EA6">
        <w:t xml:space="preserve"> and substance</w:t>
      </w:r>
      <w:r w:rsidR="007A603E">
        <w:t xml:space="preserve">-related </w:t>
      </w:r>
      <w:r w:rsidR="007A603E" w:rsidRPr="007D0EA6">
        <w:t xml:space="preserve">services </w:t>
      </w:r>
      <w:r w:rsidR="009156C2" w:rsidRPr="009514C3">
        <w:rPr>
          <w:color w:val="000000"/>
        </w:rPr>
        <w:t xml:space="preserve">in the pre/post and versus control analyses </w:t>
      </w:r>
      <w:r w:rsidRPr="007D0EA6">
        <w:rPr>
          <w:color w:val="000000"/>
        </w:rPr>
        <w:t xml:space="preserve">may indicate greater patient engagement with treatment. </w:t>
      </w:r>
      <w:r w:rsidR="009156C2" w:rsidRPr="007D0EA6">
        <w:rPr>
          <w:color w:val="000000"/>
        </w:rPr>
        <w:t xml:space="preserve">Similarly, </w:t>
      </w:r>
      <w:r w:rsidR="009156C2" w:rsidRPr="009514C3">
        <w:rPr>
          <w:color w:val="000000"/>
        </w:rPr>
        <w:t>t</w:t>
      </w:r>
      <w:r w:rsidR="009156C2" w:rsidRPr="007D0EA6">
        <w:rPr>
          <w:color w:val="000000"/>
        </w:rPr>
        <w:t xml:space="preserve">he </w:t>
      </w:r>
      <w:r w:rsidR="00F23A2E" w:rsidRPr="007D0EA6">
        <w:rPr>
          <w:color w:val="000000"/>
        </w:rPr>
        <w:t xml:space="preserve">decreased use of </w:t>
      </w:r>
      <w:r w:rsidR="009156C2" w:rsidRPr="009514C3">
        <w:rPr>
          <w:color w:val="000000"/>
        </w:rPr>
        <w:t xml:space="preserve">pathology and laboratory-related </w:t>
      </w:r>
      <w:r w:rsidR="007D0EA6" w:rsidRPr="009514C3">
        <w:rPr>
          <w:color w:val="000000"/>
        </w:rPr>
        <w:t xml:space="preserve">and E&amp;M hospital-related </w:t>
      </w:r>
      <w:r w:rsidR="00F23A2E" w:rsidRPr="007D0EA6">
        <w:rPr>
          <w:color w:val="000000"/>
        </w:rPr>
        <w:t xml:space="preserve">services observed </w:t>
      </w:r>
      <w:r w:rsidR="009156C2" w:rsidRPr="009514C3">
        <w:rPr>
          <w:color w:val="000000"/>
        </w:rPr>
        <w:t xml:space="preserve">in these analyses </w:t>
      </w:r>
      <w:r w:rsidR="00F23A2E" w:rsidRPr="007D0EA6">
        <w:t>may indicate an improvement or stabilization of other conditions affecting these patients.</w:t>
      </w:r>
      <w:r w:rsidR="00F23A2E" w:rsidRPr="002118E9">
        <w:rPr>
          <w:color w:val="000000"/>
        </w:rPr>
        <w:t xml:space="preserve"> </w:t>
      </w:r>
      <w:r w:rsidR="007A603E">
        <w:rPr>
          <w:color w:val="000000"/>
        </w:rPr>
        <w:t>Notably</w:t>
      </w:r>
      <w:r w:rsidR="00D03897">
        <w:rPr>
          <w:color w:val="000000"/>
        </w:rPr>
        <w:t>,</w:t>
      </w:r>
      <w:r w:rsidR="007A603E">
        <w:rPr>
          <w:color w:val="000000"/>
        </w:rPr>
        <w:t xml:space="preserve"> </w:t>
      </w:r>
      <w:r w:rsidR="00CB3B19">
        <w:rPr>
          <w:color w:val="000000"/>
        </w:rPr>
        <w:t>c</w:t>
      </w:r>
      <w:r w:rsidR="00D1427B">
        <w:rPr>
          <w:color w:val="000000"/>
        </w:rPr>
        <w:t xml:space="preserve">linically-meaningful differences in </w:t>
      </w:r>
      <w:r w:rsidR="00CB3B19">
        <w:rPr>
          <w:color w:val="000000"/>
        </w:rPr>
        <w:t xml:space="preserve">hospital </w:t>
      </w:r>
      <w:r w:rsidR="00D1427B">
        <w:rPr>
          <w:color w:val="000000"/>
        </w:rPr>
        <w:t xml:space="preserve">facility-related encounters were observed in all analyses. </w:t>
      </w:r>
      <w:r w:rsidR="005D0C83">
        <w:rPr>
          <w:color w:val="000000"/>
        </w:rPr>
        <w:t xml:space="preserve">However, </w:t>
      </w:r>
      <w:r w:rsidR="00107257">
        <w:rPr>
          <w:color w:val="000000"/>
        </w:rPr>
        <w:t xml:space="preserve">patients covered by </w:t>
      </w:r>
      <w:r w:rsidR="00CE1312">
        <w:rPr>
          <w:color w:val="000000"/>
        </w:rPr>
        <w:t>M</w:t>
      </w:r>
      <w:r w:rsidR="007A603E">
        <w:rPr>
          <w:color w:val="000000"/>
        </w:rPr>
        <w:t>edicaid</w:t>
      </w:r>
      <w:r w:rsidR="008F1970">
        <w:rPr>
          <w:color w:val="000000"/>
        </w:rPr>
        <w:t xml:space="preserve"> ha</w:t>
      </w:r>
      <w:r w:rsidR="00D1427B">
        <w:rPr>
          <w:color w:val="000000"/>
        </w:rPr>
        <w:t>d</w:t>
      </w:r>
      <w:r w:rsidR="008F1970">
        <w:rPr>
          <w:color w:val="000000"/>
        </w:rPr>
        <w:t xml:space="preserve"> the highest </w:t>
      </w:r>
      <w:r w:rsidR="00D03897">
        <w:rPr>
          <w:color w:val="000000"/>
        </w:rPr>
        <w:t>difference</w:t>
      </w:r>
      <w:r w:rsidR="00107257">
        <w:rPr>
          <w:color w:val="000000"/>
        </w:rPr>
        <w:t>s in</w:t>
      </w:r>
      <w:r w:rsidR="00D03897">
        <w:rPr>
          <w:color w:val="000000"/>
        </w:rPr>
        <w:t xml:space="preserve"> </w:t>
      </w:r>
      <w:r w:rsidR="008F1970">
        <w:rPr>
          <w:color w:val="000000"/>
        </w:rPr>
        <w:t>facility-related encounters</w:t>
      </w:r>
      <w:r w:rsidR="00D03897">
        <w:rPr>
          <w:color w:val="000000"/>
        </w:rPr>
        <w:t>, specifically for inpatient services, ED and ICU stays</w:t>
      </w:r>
      <w:r w:rsidR="005D0C83">
        <w:rPr>
          <w:color w:val="000000"/>
        </w:rPr>
        <w:t>,</w:t>
      </w:r>
      <w:r w:rsidR="00D03897">
        <w:rPr>
          <w:color w:val="000000"/>
        </w:rPr>
        <w:t xml:space="preserve"> </w:t>
      </w:r>
      <w:r w:rsidR="008F1970">
        <w:rPr>
          <w:color w:val="000000"/>
        </w:rPr>
        <w:t xml:space="preserve">which </w:t>
      </w:r>
      <w:r w:rsidR="00D03897">
        <w:rPr>
          <w:color w:val="000000"/>
        </w:rPr>
        <w:t xml:space="preserve">helped drive the greater cost reductions </w:t>
      </w:r>
      <w:r w:rsidR="005D0C83">
        <w:rPr>
          <w:color w:val="000000"/>
        </w:rPr>
        <w:t>observed</w:t>
      </w:r>
      <w:r w:rsidR="00CE1312">
        <w:rPr>
          <w:color w:val="000000"/>
        </w:rPr>
        <w:t xml:space="preserve">. </w:t>
      </w:r>
      <w:r w:rsidR="00ED0403">
        <w:rPr>
          <w:color w:val="000000"/>
        </w:rPr>
        <w:t>Supporting th</w:t>
      </w:r>
      <w:r w:rsidR="005D0C83">
        <w:rPr>
          <w:color w:val="000000"/>
        </w:rPr>
        <w:t xml:space="preserve">ese observations </w:t>
      </w:r>
      <w:r w:rsidR="00ED0403">
        <w:rPr>
          <w:color w:val="000000"/>
        </w:rPr>
        <w:t>are s</w:t>
      </w:r>
      <w:r w:rsidR="00F23A2E" w:rsidRPr="002118E9">
        <w:rPr>
          <w:color w:val="000000"/>
        </w:rPr>
        <w:t xml:space="preserve">tudies by Ruetsch and colleagues and </w:t>
      </w:r>
      <w:r w:rsidR="00F23A2E">
        <w:rPr>
          <w:color w:val="000000"/>
        </w:rPr>
        <w:t xml:space="preserve">Lynch and colleagues </w:t>
      </w:r>
      <w:r w:rsidR="00ED0403">
        <w:rPr>
          <w:color w:val="000000"/>
        </w:rPr>
        <w:t xml:space="preserve">that </w:t>
      </w:r>
      <w:r w:rsidR="00F23A2E">
        <w:rPr>
          <w:color w:val="000000"/>
        </w:rPr>
        <w:t xml:space="preserve">have also shown decreased emergency department </w:t>
      </w:r>
      <w:r w:rsidR="00F23A2E" w:rsidRPr="007559EE">
        <w:rPr>
          <w:color w:val="000000"/>
        </w:rPr>
        <w:t>and</w:t>
      </w:r>
      <w:r w:rsidR="00F23A2E">
        <w:rPr>
          <w:color w:val="000000"/>
        </w:rPr>
        <w:t xml:space="preserve"> inpatient visits in patients with more comprehensive therapy</w:t>
      </w:r>
      <w:r w:rsidR="00681087">
        <w:rPr>
          <w:color w:val="000000"/>
        </w:rPr>
        <w:fldChar w:fldCharType="begin"/>
      </w:r>
      <w:r w:rsidR="004838A0">
        <w:rPr>
          <w:color w:val="000000"/>
        </w:rPr>
        <w:instrText xml:space="preserve"> ADDIN EN.CITE &lt;EndNote&gt;&lt;Cite&gt;&lt;Author&gt;Lynch&lt;/Author&gt;&lt;Year&gt;2014&lt;/Year&gt;&lt;RecNum&gt;380&lt;/RecNum&gt;&lt;DisplayText&gt;[8]&lt;/DisplayText&gt;&lt;record&gt;&lt;rec-number&gt;380&lt;/rec-number&gt;&lt;foreign-keys&gt;&lt;key app="EN" db-id="9z2t9av26xzf2yew5tv5wsvd55zdwzx0t5rr" timestamp="1607025419"&gt;380&lt;/key&gt;&lt;/foreign-keys&gt;&lt;ref-type name="Journal Article"&gt;17&lt;/ref-type&gt;&lt;contributors&gt;&lt;authors&gt;&lt;author&gt;Lynch, Frances L.&lt;/author&gt;&lt;author&gt;McCarty, Dennis&lt;/author&gt;&lt;author&gt;Mertens, Jennifer&lt;/author&gt;&lt;author&gt;Perrin, Nancy A.&lt;/author&gt;&lt;author&gt;Green, Carla A.&lt;/author&gt;&lt;author&gt;Parthasarathy, Sujaya&lt;/author&gt;&lt;author&gt;Dickerson, John F.&lt;/author&gt;&lt;author&gt;Anderson, Bradley M.&lt;/author&gt;&lt;author&gt;Pating, David&lt;/author&gt;&lt;/authors&gt;&lt;/contributors&gt;&lt;titles&gt;&lt;title&gt;Costs of care for persons with opioid dependence in commercial integrated health systems&lt;/title&gt;&lt;secondary-title&gt;Addiction Science &amp;amp; Clinical Practice&lt;/secondary-title&gt;&lt;/titles&gt;&lt;periodical&gt;&lt;full-title&gt;Addiction Science &amp;amp; Clinical Practice&lt;/full-title&gt;&lt;/periodical&gt;&lt;pages&gt;16&lt;/pages&gt;&lt;volume&gt;9&lt;/volume&gt;&lt;number&gt;1&lt;/number&gt;&lt;dates&gt;&lt;year&gt;2014&lt;/year&gt;&lt;pub-dates&gt;&lt;date&gt;2014/08/14&lt;/date&gt;&lt;/pub-dates&gt;&lt;/dates&gt;&lt;isbn&gt;1940-0640&lt;/isbn&gt;&lt;urls&gt;&lt;related-urls&gt;&lt;url&gt;https://doi.org/10.1186/1940-0640-9-16&lt;/url&gt;&lt;/related-urls&gt;&lt;/urls&gt;&lt;electronic-resource-num&gt;10.1186/1940-0640-9-16&lt;/electronic-resource-num&gt;&lt;/record&gt;&lt;/Cite&gt;&lt;/EndNote&gt;</w:instrText>
      </w:r>
      <w:r w:rsidR="00681087">
        <w:rPr>
          <w:color w:val="000000"/>
        </w:rPr>
        <w:fldChar w:fldCharType="separate"/>
      </w:r>
      <w:r w:rsidR="004838A0">
        <w:rPr>
          <w:noProof/>
          <w:color w:val="000000"/>
        </w:rPr>
        <w:t>[</w:t>
      </w:r>
      <w:hyperlink w:anchor="_ENREF_8" w:tooltip="Lynch, 2014 #380" w:history="1">
        <w:r w:rsidR="00C20B73">
          <w:t>8</w:t>
        </w:r>
      </w:hyperlink>
      <w:r w:rsidR="004838A0">
        <w:rPr>
          <w:noProof/>
          <w:color w:val="000000"/>
        </w:rPr>
        <w:t>]</w:t>
      </w:r>
      <w:r w:rsidR="00681087">
        <w:rPr>
          <w:color w:val="000000"/>
        </w:rPr>
        <w:fldChar w:fldCharType="end"/>
      </w:r>
      <w:r w:rsidR="00F23A2E">
        <w:rPr>
          <w:color w:val="000000"/>
        </w:rPr>
        <w:t xml:space="preserve"> and with adherence to </w:t>
      </w:r>
      <w:r w:rsidR="00044DCE">
        <w:rPr>
          <w:color w:val="000000"/>
        </w:rPr>
        <w:t>MOUD</w:t>
      </w:r>
      <w:r w:rsidR="00681087">
        <w:rPr>
          <w:color w:val="000000"/>
        </w:rPr>
        <w:fldChar w:fldCharType="begin"/>
      </w:r>
      <w:r w:rsidR="004838A0">
        <w:rPr>
          <w:color w:val="000000"/>
        </w:rPr>
        <w:instrText xml:space="preserve"> ADDIN EN.CITE &lt;EndNote&gt;&lt;Cite&gt;&lt;Author&gt;Ruetsch&lt;/Author&gt;&lt;Year&gt;2017&lt;/Year&gt;&lt;RecNum&gt;379&lt;/RecNum&gt;&lt;DisplayText&gt;[7]&lt;/DisplayText&gt;&lt;record&gt;&lt;rec-number&gt;379&lt;/rec-number&gt;&lt;foreign-keys&gt;&lt;key app="EN" db-id="9z2t9av26xzf2yew5tv5wsvd55zdwzx0t5rr" timestamp="1607025419"&gt;379&lt;/key&gt;&lt;/foreign-keys&gt;&lt;ref-type name="Journal Article"&gt;17&lt;/ref-type&gt;&lt;contributors&gt;&lt;authors&gt;&lt;author&gt;Ruetsch, C.&lt;/author&gt;&lt;author&gt;Tkacz, J.&lt;/author&gt;&lt;author&gt;Nadipelli, V. R.&lt;/author&gt;&lt;author&gt;Brady, B. L.&lt;/author&gt;&lt;author&gt;Ronquest, N.&lt;/author&gt;&lt;author&gt;Un, H.&lt;/author&gt;&lt;author&gt;Volpicelli, J.&lt;/author&gt;&lt;/authors&gt;&lt;/contributors&gt;&lt;auth-address&gt;Health Analytics, LLC, 9200 Rumsey Rd, Ste 215, Columbia, MD 21045. E-mail: joseph.tkacz@healthanalytic.com.&lt;/auth-address&gt;&lt;titles&gt;&lt;title&gt;Heterogeneity of nonadherent buprenorphine patients: subgroup characteristics and outcomes&lt;/title&gt;&lt;secondary-title&gt;Am J Manag Care&lt;/secondary-title&gt;&lt;/titles&gt;&lt;periodical&gt;&lt;full-title&gt;Am J Manag Care&lt;/full-title&gt;&lt;/periodical&gt;&lt;pages&gt;e172-e179&lt;/pages&gt;&lt;volume&gt;23&lt;/volume&gt;&lt;number&gt;6&lt;/number&gt;&lt;edition&gt;2017/08/18&lt;/edition&gt;&lt;keywords&gt;&lt;keyword&gt;Adolescent&lt;/keyword&gt;&lt;keyword&gt;Adult&lt;/keyword&gt;&lt;keyword&gt;Buprenorphine/ therapeutic use&lt;/keyword&gt;&lt;keyword&gt;Cross-Sectional Studies&lt;/keyword&gt;&lt;keyword&gt;Female&lt;/keyword&gt;&lt;keyword&gt;Health Care Costs/statistics &amp;amp; numerical data&lt;/keyword&gt;&lt;keyword&gt;Humans&lt;/keyword&gt;&lt;keyword&gt;Male&lt;/keyword&gt;&lt;keyword&gt;Medication Adherence/psychology/statistics &amp;amp; numerical data&lt;/keyword&gt;&lt;keyword&gt;Opiate Substitution Treatment/methods/psychology&lt;/keyword&gt;&lt;keyword&gt;Opioid-Related Disorders/ drug therapy&lt;/keyword&gt;&lt;keyword&gt;Recurrence&lt;/keyword&gt;&lt;keyword&gt;Retrospective Studies&lt;/keyword&gt;&lt;keyword&gt;Treatment Outcome&lt;/keyword&gt;&lt;keyword&gt;Young Adult&lt;/keyword&gt;&lt;/keywords&gt;&lt;dates&gt;&lt;year&gt;2017&lt;/year&gt;&lt;pub-dates&gt;&lt;date&gt;Jun 1&lt;/date&gt;&lt;/pub-dates&gt;&lt;/dates&gt;&lt;isbn&gt;1936-2692 (Electronic)&amp;#xD;1088-0224 (Linking)&lt;/isbn&gt;&lt;accession-num&gt;28817294&lt;/accession-num&gt;&lt;urls&gt;&lt;/urls&gt;&lt;remote-database-provider&gt;NLM&lt;/remote-database-provider&gt;&lt;language&gt;eng&lt;/language&gt;&lt;/record&gt;&lt;/Cite&gt;&lt;/EndNote&gt;</w:instrText>
      </w:r>
      <w:r w:rsidR="00681087">
        <w:rPr>
          <w:color w:val="000000"/>
        </w:rPr>
        <w:fldChar w:fldCharType="separate"/>
      </w:r>
      <w:r w:rsidR="004838A0">
        <w:rPr>
          <w:noProof/>
          <w:color w:val="000000"/>
        </w:rPr>
        <w:t>[</w:t>
      </w:r>
      <w:hyperlink w:anchor="_ENREF_7" w:tooltip="Ruetsch, 2017 #379" w:history="1">
        <w:r w:rsidR="00C20B73">
          <w:t>7</w:t>
        </w:r>
      </w:hyperlink>
      <w:r w:rsidR="004838A0">
        <w:rPr>
          <w:noProof/>
          <w:color w:val="000000"/>
        </w:rPr>
        <w:t>]</w:t>
      </w:r>
      <w:r w:rsidR="00681087">
        <w:rPr>
          <w:color w:val="000000"/>
        </w:rPr>
        <w:fldChar w:fldCharType="end"/>
      </w:r>
      <w:r w:rsidR="004838A0">
        <w:rPr>
          <w:color w:val="000000"/>
        </w:rPr>
        <w:t>.</w:t>
      </w:r>
    </w:p>
    <w:p w14:paraId="05335C17" w14:textId="66DB6B2E" w:rsidR="00F23A2E" w:rsidRDefault="00F23A2E" w:rsidP="00F23A2E">
      <w:pPr>
        <w:pBdr>
          <w:top w:val="nil"/>
          <w:left w:val="nil"/>
          <w:bottom w:val="nil"/>
          <w:right w:val="nil"/>
          <w:between w:val="nil"/>
        </w:pBdr>
        <w:spacing w:line="480" w:lineRule="auto"/>
        <w:ind w:firstLine="720"/>
      </w:pPr>
      <w:r>
        <w:rPr>
          <w:color w:val="000000"/>
        </w:rPr>
        <w:t>The significant increase</w:t>
      </w:r>
      <w:r w:rsidR="00134F36">
        <w:rPr>
          <w:color w:val="000000"/>
        </w:rPr>
        <w:t xml:space="preserve"> in the</w:t>
      </w:r>
      <w:r>
        <w:rPr>
          <w:color w:val="000000"/>
        </w:rPr>
        <w:t xml:space="preserve"> rate of post-index buprenorphine </w:t>
      </w:r>
      <w:r w:rsidR="00E54FA1">
        <w:rPr>
          <w:color w:val="000000"/>
        </w:rPr>
        <w:t>adherence</w:t>
      </w:r>
      <w:r>
        <w:rPr>
          <w:color w:val="000000"/>
        </w:rPr>
        <w:t xml:space="preserve"> is noteworthy because </w:t>
      </w:r>
      <w:r w:rsidR="002A471F">
        <w:rPr>
          <w:color w:val="000000"/>
        </w:rPr>
        <w:t xml:space="preserve">of the similar MPR observed in both groups in the pre-index period, and because </w:t>
      </w:r>
      <w:r w:rsidR="00044DCE">
        <w:rPr>
          <w:color w:val="000000"/>
        </w:rPr>
        <w:t xml:space="preserve">patients </w:t>
      </w:r>
      <w:r w:rsidRPr="00651BC9">
        <w:t xml:space="preserve">retained in </w:t>
      </w:r>
      <w:r>
        <w:t xml:space="preserve">MOUD </w:t>
      </w:r>
      <w:r w:rsidRPr="00651BC9">
        <w:t xml:space="preserve">are in a better position to avoid exposure to illicit opioids, </w:t>
      </w:r>
      <w:r w:rsidR="00E54FA1">
        <w:t xml:space="preserve">and thus </w:t>
      </w:r>
      <w:r>
        <w:lastRenderedPageBreak/>
        <w:t xml:space="preserve">reduce </w:t>
      </w:r>
      <w:r w:rsidRPr="00651BC9">
        <w:t xml:space="preserve">their risk of overdose or </w:t>
      </w:r>
      <w:r>
        <w:t xml:space="preserve">an </w:t>
      </w:r>
      <w:r w:rsidRPr="00651BC9">
        <w:t>acute care event</w:t>
      </w:r>
      <w:r>
        <w:t>.</w:t>
      </w:r>
      <w:r w:rsidR="00044DCE">
        <w:t xml:space="preserve"> </w:t>
      </w:r>
      <w:r>
        <w:t>Retention in treatment is essential to achiev</w:t>
      </w:r>
      <w:r w:rsidR="00ED0403">
        <w:t>ing</w:t>
      </w:r>
      <w:r>
        <w:t xml:space="preserve"> long-term recovery, so interventions that improve retention should be prioritized.</w:t>
      </w:r>
    </w:p>
    <w:p w14:paraId="00E3E17B" w14:textId="5732ED05" w:rsidR="00635F83" w:rsidRDefault="00635F83" w:rsidP="00F23A2E">
      <w:pPr>
        <w:pBdr>
          <w:top w:val="nil"/>
          <w:left w:val="nil"/>
          <w:bottom w:val="nil"/>
          <w:right w:val="nil"/>
          <w:between w:val="nil"/>
        </w:pBdr>
        <w:spacing w:line="480" w:lineRule="auto"/>
        <w:ind w:firstLine="720"/>
      </w:pPr>
      <w:r>
        <w:t>The COVID-19 pandemic, it should be noted, was an important consideration in this analysis. T</w:t>
      </w:r>
      <w:r w:rsidRPr="00312165">
        <w:t xml:space="preserve">o evaluate the </w:t>
      </w:r>
      <w:r>
        <w:t xml:space="preserve">potential </w:t>
      </w:r>
      <w:r w:rsidRPr="00312165">
        <w:t xml:space="preserve">impact of </w:t>
      </w:r>
      <w:r>
        <w:t xml:space="preserve">the </w:t>
      </w:r>
      <w:r w:rsidRPr="00312165">
        <w:t>COVID</w:t>
      </w:r>
      <w:r>
        <w:t>-19 pandemic,</w:t>
      </w:r>
      <w:r w:rsidRPr="00312165">
        <w:t xml:space="preserve"> </w:t>
      </w:r>
      <w:r>
        <w:t xml:space="preserve">an adjustment was made for </w:t>
      </w:r>
      <w:r w:rsidRPr="00312165">
        <w:t>the number of days after March 11, 2020</w:t>
      </w:r>
      <w:r>
        <w:t xml:space="preserve"> </w:t>
      </w:r>
      <w:r w:rsidRPr="00312165">
        <w:t>within each patient’s observation period</w:t>
      </w:r>
      <w:r>
        <w:t xml:space="preserve">. However, when this adjustment was made, no statistically significant effects on the results were observed, resulting in the COVID-19 adjustment being dropped from the </w:t>
      </w:r>
      <w:r w:rsidR="00CB3B19">
        <w:t>model</w:t>
      </w:r>
      <w:r>
        <w:t xml:space="preserve">. </w:t>
      </w:r>
      <w:r w:rsidR="00FB52FB">
        <w:t>This was expected</w:t>
      </w:r>
      <w:r>
        <w:t xml:space="preserve"> since </w:t>
      </w:r>
      <w:r w:rsidRPr="00312165">
        <w:t xml:space="preserve">both arms </w:t>
      </w:r>
      <w:r>
        <w:t xml:space="preserve">in the comparative analyses were </w:t>
      </w:r>
      <w:r w:rsidRPr="00312165">
        <w:t>subject to a similar impact from the pandemic</w:t>
      </w:r>
      <w:r>
        <w:t>.</w:t>
      </w:r>
    </w:p>
    <w:p w14:paraId="124EDDE8" w14:textId="43E22DE4" w:rsidR="007D4A53" w:rsidRDefault="001E147B" w:rsidP="00B56976">
      <w:pPr>
        <w:pBdr>
          <w:top w:val="nil"/>
          <w:left w:val="nil"/>
          <w:bottom w:val="nil"/>
          <w:right w:val="nil"/>
          <w:between w:val="nil"/>
        </w:pBdr>
        <w:spacing w:line="480" w:lineRule="auto"/>
        <w:ind w:firstLine="720"/>
        <w:rPr>
          <w:color w:val="000000"/>
        </w:rPr>
      </w:pPr>
      <w:r>
        <w:rPr>
          <w:color w:val="000000"/>
        </w:rPr>
        <w:t xml:space="preserve">Over the past several years, substantial strides have been made to expand </w:t>
      </w:r>
      <w:r w:rsidR="00C1404B">
        <w:rPr>
          <w:color w:val="000000"/>
        </w:rPr>
        <w:t xml:space="preserve">the </w:t>
      </w:r>
      <w:r>
        <w:rPr>
          <w:color w:val="000000"/>
        </w:rPr>
        <w:t xml:space="preserve">use of MOUD. </w:t>
      </w:r>
      <w:r w:rsidR="001020FF">
        <w:rPr>
          <w:color w:val="000000"/>
        </w:rPr>
        <w:t>Despite th</w:t>
      </w:r>
      <w:r w:rsidR="00C1404B">
        <w:rPr>
          <w:color w:val="000000"/>
        </w:rPr>
        <w:t xml:space="preserve">is </w:t>
      </w:r>
      <w:r w:rsidR="001020FF">
        <w:rPr>
          <w:color w:val="000000"/>
        </w:rPr>
        <w:t>expansion</w:t>
      </w:r>
      <w:r w:rsidR="00C1404B">
        <w:rPr>
          <w:color w:val="000000"/>
        </w:rPr>
        <w:t xml:space="preserve">, however, and the granting of </w:t>
      </w:r>
      <w:r w:rsidR="001020FF">
        <w:rPr>
          <w:color w:val="000000"/>
        </w:rPr>
        <w:t xml:space="preserve">flexible availability, such as via telemedicine prescribing and virtual visits, the </w:t>
      </w:r>
      <w:r w:rsidR="00B85DAC">
        <w:rPr>
          <w:color w:val="000000"/>
        </w:rPr>
        <w:t>prevalence of OUD and rate of overdoses ha</w:t>
      </w:r>
      <w:r w:rsidR="00C1404B">
        <w:rPr>
          <w:color w:val="000000"/>
        </w:rPr>
        <w:t>ve</w:t>
      </w:r>
      <w:r w:rsidR="00B85DAC">
        <w:rPr>
          <w:color w:val="000000"/>
        </w:rPr>
        <w:t xml:space="preserve"> accelerated. </w:t>
      </w:r>
      <w:r w:rsidR="00071E62">
        <w:rPr>
          <w:color w:val="000000"/>
        </w:rPr>
        <w:t>MOUD expansion alone is</w:t>
      </w:r>
      <w:r w:rsidR="00C1404B">
        <w:rPr>
          <w:color w:val="000000"/>
        </w:rPr>
        <w:t xml:space="preserve"> thus</w:t>
      </w:r>
      <w:r w:rsidR="00071E62">
        <w:rPr>
          <w:color w:val="000000"/>
        </w:rPr>
        <w:t xml:space="preserve"> insufficient</w:t>
      </w:r>
      <w:r w:rsidR="00C1404B">
        <w:rPr>
          <w:color w:val="000000"/>
        </w:rPr>
        <w:t>. A</w:t>
      </w:r>
      <w:r w:rsidR="00071E62">
        <w:rPr>
          <w:color w:val="000000"/>
        </w:rPr>
        <w:t xml:space="preserve">dditional treatment options that </w:t>
      </w:r>
      <w:r w:rsidR="002F5C56">
        <w:rPr>
          <w:color w:val="000000"/>
        </w:rPr>
        <w:t xml:space="preserve">bring accessible, evidence-based treatments into </w:t>
      </w:r>
      <w:r w:rsidR="00AB302D">
        <w:rPr>
          <w:color w:val="000000"/>
        </w:rPr>
        <w:t>standard care</w:t>
      </w:r>
      <w:r w:rsidR="00134F36">
        <w:rPr>
          <w:color w:val="000000"/>
        </w:rPr>
        <w:t xml:space="preserve"> are essential</w:t>
      </w:r>
      <w:r w:rsidR="00AB302D">
        <w:rPr>
          <w:color w:val="000000"/>
        </w:rPr>
        <w:t>.</w:t>
      </w:r>
    </w:p>
    <w:p w14:paraId="10434C21" w14:textId="58CFB109" w:rsidR="00635F83" w:rsidRDefault="00312165" w:rsidP="00635F83">
      <w:pPr>
        <w:pBdr>
          <w:top w:val="nil"/>
          <w:left w:val="nil"/>
          <w:bottom w:val="nil"/>
          <w:right w:val="nil"/>
          <w:between w:val="nil"/>
        </w:pBdr>
        <w:spacing w:line="480" w:lineRule="auto"/>
        <w:ind w:firstLine="720"/>
        <w:rPr>
          <w:color w:val="000000"/>
        </w:rPr>
      </w:pPr>
      <w:r w:rsidRPr="00312165">
        <w:t xml:space="preserve">  </w:t>
      </w:r>
      <w:r w:rsidR="00635F83">
        <w:rPr>
          <w:color w:val="000000"/>
        </w:rPr>
        <w:t xml:space="preserve">Ironically, even though patients in recovery use far fewer </w:t>
      </w:r>
      <w:r w:rsidR="001C55C4">
        <w:rPr>
          <w:color w:val="000000"/>
        </w:rPr>
        <w:t xml:space="preserve">costly hospital-related </w:t>
      </w:r>
      <w:r w:rsidR="00635F83">
        <w:rPr>
          <w:color w:val="000000"/>
        </w:rPr>
        <w:t xml:space="preserve">resources and </w:t>
      </w:r>
      <w:r w:rsidR="001C55C4">
        <w:rPr>
          <w:color w:val="000000"/>
        </w:rPr>
        <w:t xml:space="preserve">hence </w:t>
      </w:r>
      <w:r w:rsidR="00635F83">
        <w:rPr>
          <w:color w:val="000000"/>
        </w:rPr>
        <w:t>cost the health care system far less than untreated patients, barriers to accessing treatment prevent many patients from obtaining the care and support they desperately need in order to achieve greater stability in their lives. PDTs, which can eliminate geographical, economic, stigma-related, and logistical barriers, may provide patients with broader access to interventions demonstrated to improve retention in treatment.</w:t>
      </w:r>
    </w:p>
    <w:p w14:paraId="3E501A93" w14:textId="77777777" w:rsidR="00312165" w:rsidRDefault="00312165" w:rsidP="008979E4">
      <w:pPr>
        <w:pStyle w:val="CommentText"/>
        <w:spacing w:line="480" w:lineRule="auto"/>
        <w:ind w:firstLine="720"/>
      </w:pPr>
    </w:p>
    <w:p w14:paraId="4959A852" w14:textId="0DF5AEEF" w:rsidR="002541D9" w:rsidRPr="000C2024" w:rsidRDefault="00B92941" w:rsidP="002541D9">
      <w:pPr>
        <w:keepNext/>
        <w:spacing w:line="480" w:lineRule="auto"/>
        <w:rPr>
          <w:u w:val="single"/>
        </w:rPr>
      </w:pPr>
      <w:r>
        <w:rPr>
          <w:u w:val="single"/>
        </w:rPr>
        <w:t>Strength and l</w:t>
      </w:r>
      <w:r w:rsidR="002541D9" w:rsidRPr="000C2024">
        <w:rPr>
          <w:u w:val="single"/>
        </w:rPr>
        <w:t>imitations</w:t>
      </w:r>
    </w:p>
    <w:p w14:paraId="2F77B48B" w14:textId="180F5ECB" w:rsidR="0056001C" w:rsidRDefault="0056001C" w:rsidP="000C2024">
      <w:pPr>
        <w:spacing w:line="480" w:lineRule="auto"/>
        <w:ind w:firstLine="720"/>
        <w:rPr>
          <w:color w:val="000000"/>
        </w:rPr>
      </w:pPr>
      <w:r>
        <w:rPr>
          <w:color w:val="000000"/>
        </w:rPr>
        <w:t>Despite conducting a vs. control comparison to help alleviate concerns about regression to the mean, it is possible that latent differences may exist between the two groups</w:t>
      </w:r>
      <w:r w:rsidR="008A3A16">
        <w:rPr>
          <w:color w:val="000000"/>
        </w:rPr>
        <w:t xml:space="preserve"> (for example, differences in buprenorphine dose at baseline and incidences of symptoms of depression or </w:t>
      </w:r>
      <w:r w:rsidR="008A3A16">
        <w:rPr>
          <w:color w:val="000000"/>
        </w:rPr>
        <w:lastRenderedPageBreak/>
        <w:t>anxiety)</w:t>
      </w:r>
      <w:r>
        <w:rPr>
          <w:color w:val="000000"/>
        </w:rPr>
        <w:t xml:space="preserve">.  However, the vs. control analysis also controlled for multiple covariates </w:t>
      </w:r>
      <w:r w:rsidR="002E0D2C">
        <w:rPr>
          <w:color w:val="000000"/>
        </w:rPr>
        <w:t>(</w:t>
      </w:r>
      <w:r>
        <w:rPr>
          <w:color w:val="000000"/>
        </w:rPr>
        <w:t xml:space="preserve">age, </w:t>
      </w:r>
      <w:r w:rsidR="002E0D2C">
        <w:rPr>
          <w:color w:val="000000"/>
        </w:rPr>
        <w:t xml:space="preserve">sex, </w:t>
      </w:r>
      <w:r>
        <w:rPr>
          <w:color w:val="000000"/>
        </w:rPr>
        <w:t xml:space="preserve">region </w:t>
      </w:r>
      <w:r w:rsidR="002E0D2C">
        <w:rPr>
          <w:color w:val="000000"/>
        </w:rPr>
        <w:t xml:space="preserve">payer type, CCI, </w:t>
      </w:r>
      <w:r w:rsidR="00CB3B19">
        <w:rPr>
          <w:color w:val="000000"/>
        </w:rPr>
        <w:t xml:space="preserve">mental health disorders, substance use disorders, </w:t>
      </w:r>
      <w:r>
        <w:rPr>
          <w:color w:val="000000"/>
        </w:rPr>
        <w:t xml:space="preserve">and baseline </w:t>
      </w:r>
      <w:r w:rsidR="002E0D2C">
        <w:rPr>
          <w:color w:val="000000"/>
        </w:rPr>
        <w:t>HCRU)</w:t>
      </w:r>
      <w:r>
        <w:rPr>
          <w:color w:val="000000"/>
        </w:rPr>
        <w:t xml:space="preserve"> to help mitigate these concerns.</w:t>
      </w:r>
      <w:r w:rsidR="00102E1B">
        <w:rPr>
          <w:color w:val="000000"/>
        </w:rPr>
        <w:t xml:space="preserve"> </w:t>
      </w:r>
      <w:r w:rsidR="00CB3B19">
        <w:rPr>
          <w:color w:val="000000"/>
        </w:rPr>
        <w:t>Buprenorphine dose was not controlled for because dose was not available</w:t>
      </w:r>
      <w:r w:rsidR="002A471F">
        <w:rPr>
          <w:color w:val="000000"/>
        </w:rPr>
        <w:t>;</w:t>
      </w:r>
      <w:r w:rsidR="008E5EF5">
        <w:rPr>
          <w:color w:val="000000"/>
        </w:rPr>
        <w:t xml:space="preserve"> </w:t>
      </w:r>
      <w:r w:rsidR="002A471F">
        <w:rPr>
          <w:color w:val="000000"/>
        </w:rPr>
        <w:t xml:space="preserve">however, </w:t>
      </w:r>
      <w:r w:rsidR="00CB3B19">
        <w:rPr>
          <w:color w:val="000000"/>
        </w:rPr>
        <w:t xml:space="preserve">no difference in the presence of buprenorphine </w:t>
      </w:r>
      <w:r w:rsidR="00121678">
        <w:rPr>
          <w:color w:val="000000"/>
        </w:rPr>
        <w:t xml:space="preserve">prescriptions </w:t>
      </w:r>
      <w:r w:rsidR="00CB3B19">
        <w:rPr>
          <w:color w:val="000000"/>
        </w:rPr>
        <w:t>in the pre-index period</w:t>
      </w:r>
      <w:r w:rsidR="008E5EF5">
        <w:rPr>
          <w:color w:val="000000"/>
        </w:rPr>
        <w:t xml:space="preserve"> was observed, and time on buprenorphine treatment was similar in both groups</w:t>
      </w:r>
      <w:r w:rsidR="00CB3B19">
        <w:rPr>
          <w:color w:val="000000"/>
        </w:rPr>
        <w:t xml:space="preserve">. </w:t>
      </w:r>
      <w:r w:rsidR="00A83F45">
        <w:rPr>
          <w:color w:val="000000"/>
        </w:rPr>
        <w:t xml:space="preserve">It was not possible to assess the impact of race on HCRU outcomes due the lack of such information in claims data. </w:t>
      </w:r>
    </w:p>
    <w:p w14:paraId="7BEC253D" w14:textId="4EC1106C" w:rsidR="00ED0403" w:rsidRDefault="002541D9" w:rsidP="008979E4">
      <w:pPr>
        <w:spacing w:line="480" w:lineRule="auto"/>
        <w:ind w:firstLine="720"/>
        <w:rPr>
          <w:color w:val="000000"/>
        </w:rPr>
      </w:pPr>
      <w:r>
        <w:rPr>
          <w:color w:val="000000"/>
        </w:rPr>
        <w:t>Healthcare claims-based analyses have some</w:t>
      </w:r>
      <w:r w:rsidRPr="00846EDA">
        <w:rPr>
          <w:color w:val="000000"/>
        </w:rPr>
        <w:t xml:space="preserve"> </w:t>
      </w:r>
      <w:r w:rsidR="00026814">
        <w:rPr>
          <w:color w:val="000000"/>
        </w:rPr>
        <w:t xml:space="preserve">inherent </w:t>
      </w:r>
      <w:r w:rsidRPr="00846EDA">
        <w:rPr>
          <w:color w:val="000000"/>
        </w:rPr>
        <w:t>limitations</w:t>
      </w:r>
      <w:r w:rsidR="00851FCF">
        <w:rPr>
          <w:color w:val="000000"/>
        </w:rPr>
        <w:t>,</w:t>
      </w:r>
      <w:r w:rsidRPr="00846EDA">
        <w:rPr>
          <w:color w:val="000000"/>
        </w:rPr>
        <w:t xml:space="preserve"> </w:t>
      </w:r>
      <w:r w:rsidR="00851FCF">
        <w:rPr>
          <w:color w:val="000000"/>
        </w:rPr>
        <w:t xml:space="preserve">such as their administrative nature (i.e., built for adjudicating health care claims, not for research purposes), </w:t>
      </w:r>
      <w:r w:rsidR="00C01717">
        <w:rPr>
          <w:color w:val="000000"/>
        </w:rPr>
        <w:t xml:space="preserve">the </w:t>
      </w:r>
      <w:r w:rsidR="00851FCF">
        <w:rPr>
          <w:color w:val="000000"/>
        </w:rPr>
        <w:t xml:space="preserve">possible presence of coding errors, </w:t>
      </w:r>
      <w:r w:rsidR="00C01717">
        <w:rPr>
          <w:color w:val="000000"/>
        </w:rPr>
        <w:t xml:space="preserve">lack of coding for all health conditions affecting patients, </w:t>
      </w:r>
      <w:r w:rsidR="00851FCF">
        <w:rPr>
          <w:color w:val="000000"/>
        </w:rPr>
        <w:t xml:space="preserve">and lack of clinical </w:t>
      </w:r>
      <w:r w:rsidR="00C01717">
        <w:rPr>
          <w:color w:val="000000"/>
        </w:rPr>
        <w:t xml:space="preserve">or patient characteristics </w:t>
      </w:r>
      <w:r w:rsidR="00851FCF">
        <w:rPr>
          <w:color w:val="000000"/>
        </w:rPr>
        <w:t>information</w:t>
      </w:r>
      <w:r w:rsidR="00C01717">
        <w:rPr>
          <w:color w:val="000000"/>
        </w:rPr>
        <w:t xml:space="preserve"> (e.g., lab results, biomarkers, social determinants of health, </w:t>
      </w:r>
      <w:r w:rsidR="00851FCF">
        <w:rPr>
          <w:color w:val="000000"/>
        </w:rPr>
        <w:t>disease severity</w:t>
      </w:r>
      <w:r w:rsidR="00C01717">
        <w:rPr>
          <w:color w:val="000000"/>
        </w:rPr>
        <w:t>)</w:t>
      </w:r>
      <w:r w:rsidR="00C1404B">
        <w:rPr>
          <w:color w:val="000000"/>
        </w:rPr>
        <w:t>.</w:t>
      </w:r>
      <w:r w:rsidR="0056001C">
        <w:rPr>
          <w:color w:val="000000"/>
        </w:rPr>
        <w:t xml:space="preserve"> </w:t>
      </w:r>
      <w:r w:rsidR="00ED0403">
        <w:rPr>
          <w:color w:val="000000"/>
        </w:rPr>
        <w:t xml:space="preserve">However, despite the well-known limitations related to claims data analyses, the real-world data presented in this study have greater external generalizability and validity than data derived from clinical trials by virtue of their inclusion of diverse populations using the product without external guidance or incentives for participation or attendance at follow up visits from investigators. This study did not exclude patients on the basis of comorbid conditions, and evaluated all HCRU incurred by patients over the observation period, making it a rigorous evaluation of the long-term performance of reSET-O in this difficult-to-treat patient population. </w:t>
      </w:r>
    </w:p>
    <w:p w14:paraId="4A9DF0BA" w14:textId="77777777" w:rsidR="000C2024" w:rsidRPr="00846EDA" w:rsidRDefault="000C2024" w:rsidP="002541D9">
      <w:pPr>
        <w:pBdr>
          <w:top w:val="nil"/>
          <w:left w:val="nil"/>
          <w:bottom w:val="nil"/>
          <w:right w:val="nil"/>
          <w:between w:val="nil"/>
        </w:pBdr>
        <w:spacing w:line="480" w:lineRule="auto"/>
        <w:ind w:firstLine="720"/>
        <w:rPr>
          <w:rFonts w:ascii="Arial" w:eastAsia="Arial" w:hAnsi="Arial" w:cs="Arial"/>
          <w:color w:val="000000"/>
          <w:sz w:val="22"/>
          <w:szCs w:val="22"/>
        </w:rPr>
      </w:pPr>
    </w:p>
    <w:p w14:paraId="578236DB" w14:textId="77777777" w:rsidR="002541D9" w:rsidRPr="00846EDA" w:rsidRDefault="002541D9" w:rsidP="000C2024">
      <w:pPr>
        <w:keepNext/>
        <w:spacing w:line="480" w:lineRule="auto"/>
        <w:rPr>
          <w:b/>
        </w:rPr>
      </w:pPr>
      <w:r w:rsidRPr="00846EDA">
        <w:rPr>
          <w:b/>
        </w:rPr>
        <w:t>Conclusions</w:t>
      </w:r>
    </w:p>
    <w:p w14:paraId="24AD3E19" w14:textId="6B6D56FD" w:rsidR="00734515" w:rsidRDefault="002541D9" w:rsidP="002541D9">
      <w:pPr>
        <w:keepNext/>
        <w:pBdr>
          <w:top w:val="nil"/>
          <w:left w:val="nil"/>
          <w:bottom w:val="nil"/>
          <w:right w:val="nil"/>
          <w:between w:val="nil"/>
        </w:pBdr>
        <w:spacing w:line="480" w:lineRule="auto"/>
        <w:ind w:firstLine="720"/>
        <w:rPr>
          <w:b/>
        </w:rPr>
      </w:pPr>
      <w:r>
        <w:rPr>
          <w:color w:val="000000"/>
        </w:rPr>
        <w:t>In a</w:t>
      </w:r>
      <w:r w:rsidR="00CB382A">
        <w:rPr>
          <w:color w:val="000000"/>
        </w:rPr>
        <w:t>n</w:t>
      </w:r>
      <w:r w:rsidR="00601D71">
        <w:rPr>
          <w:color w:val="000000"/>
        </w:rPr>
        <w:t xml:space="preserve"> evaluation of a </w:t>
      </w:r>
      <w:r>
        <w:rPr>
          <w:color w:val="000000"/>
        </w:rPr>
        <w:t xml:space="preserve">diverse, </w:t>
      </w:r>
      <w:r w:rsidR="00CB382A">
        <w:rPr>
          <w:color w:val="000000"/>
        </w:rPr>
        <w:t xml:space="preserve">real world, </w:t>
      </w:r>
      <w:r>
        <w:rPr>
          <w:color w:val="000000"/>
        </w:rPr>
        <w:t xml:space="preserve">all-comer </w:t>
      </w:r>
      <w:r w:rsidR="005E080D">
        <w:rPr>
          <w:color w:val="000000"/>
        </w:rPr>
        <w:t>population</w:t>
      </w:r>
      <w:r>
        <w:rPr>
          <w:color w:val="000000"/>
        </w:rPr>
        <w:t xml:space="preserve"> of patients with OUD</w:t>
      </w:r>
      <w:r w:rsidR="00601D71">
        <w:rPr>
          <w:color w:val="000000"/>
        </w:rPr>
        <w:t>,</w:t>
      </w:r>
      <w:r>
        <w:rPr>
          <w:color w:val="000000"/>
        </w:rPr>
        <w:t xml:space="preserve"> significant</w:t>
      </w:r>
      <w:r w:rsidR="00CB3B19">
        <w:rPr>
          <w:color w:val="000000"/>
        </w:rPr>
        <w:t>ly</w:t>
      </w:r>
      <w:r>
        <w:rPr>
          <w:color w:val="000000"/>
        </w:rPr>
        <w:t xml:space="preserve"> </w:t>
      </w:r>
      <w:r w:rsidR="00CB3B19">
        <w:rPr>
          <w:color w:val="000000"/>
        </w:rPr>
        <w:t xml:space="preserve">fewer </w:t>
      </w:r>
      <w:r>
        <w:rPr>
          <w:color w:val="000000"/>
        </w:rPr>
        <w:t xml:space="preserve">unique hospital encounters, inpatient stays, and ED visits were observed 12 months after treatment </w:t>
      </w:r>
      <w:r w:rsidR="00CB3B19">
        <w:rPr>
          <w:color w:val="000000"/>
        </w:rPr>
        <w:t xml:space="preserve">initiation </w:t>
      </w:r>
      <w:r w:rsidR="001E6E25">
        <w:rPr>
          <w:color w:val="000000"/>
        </w:rPr>
        <w:t xml:space="preserve">with reSET-O compared to patients who were </w:t>
      </w:r>
      <w:r w:rsidR="00CB3B19">
        <w:rPr>
          <w:color w:val="000000"/>
        </w:rPr>
        <w:t xml:space="preserve">did not initiate </w:t>
      </w:r>
      <w:r w:rsidR="00CB3B19">
        <w:rPr>
          <w:color w:val="000000"/>
        </w:rPr>
        <w:lastRenderedPageBreak/>
        <w:t>reSET-O</w:t>
      </w:r>
      <w:r w:rsidR="001E6E25">
        <w:rPr>
          <w:color w:val="000000"/>
        </w:rPr>
        <w:t xml:space="preserve">. </w:t>
      </w:r>
      <w:r w:rsidR="00FA5611">
        <w:rPr>
          <w:color w:val="000000"/>
        </w:rPr>
        <w:t xml:space="preserve">Use of reSET-O was associated with </w:t>
      </w:r>
      <w:r w:rsidR="00FA5611" w:rsidRPr="001A51AE">
        <w:rPr>
          <w:color w:val="000000"/>
        </w:rPr>
        <w:t>per-patient cost reductions</w:t>
      </w:r>
      <w:r w:rsidR="00CE1312">
        <w:rPr>
          <w:color w:val="000000"/>
        </w:rPr>
        <w:t xml:space="preserve">, which were greater in the </w:t>
      </w:r>
      <w:r w:rsidR="00FA5611">
        <w:rPr>
          <w:color w:val="000000"/>
        </w:rPr>
        <w:t xml:space="preserve">Medicaid </w:t>
      </w:r>
      <w:r w:rsidR="001E6E25">
        <w:rPr>
          <w:color w:val="000000"/>
        </w:rPr>
        <w:t>sub</w:t>
      </w:r>
      <w:r w:rsidR="00CE1312">
        <w:rPr>
          <w:color w:val="000000"/>
        </w:rPr>
        <w:t>population</w:t>
      </w:r>
      <w:r w:rsidR="00FA5611" w:rsidRPr="001A51AE">
        <w:rPr>
          <w:color w:val="000000"/>
        </w:rPr>
        <w:t>.</w:t>
      </w:r>
    </w:p>
    <w:p w14:paraId="22E1F3C0" w14:textId="3174E3EF" w:rsidR="005F17F6" w:rsidRDefault="005F17F6" w:rsidP="002541D9">
      <w:pPr>
        <w:spacing w:line="480" w:lineRule="auto"/>
        <w:rPr>
          <w:b/>
        </w:rPr>
      </w:pPr>
    </w:p>
    <w:p w14:paraId="7DF390CA" w14:textId="77777777" w:rsidR="00E42C03" w:rsidRDefault="00E42C03" w:rsidP="00E42C03">
      <w:pPr>
        <w:rPr>
          <w:b/>
        </w:rPr>
      </w:pPr>
      <w:r w:rsidRPr="00582687">
        <w:rPr>
          <w:b/>
        </w:rPr>
        <w:t>Acknowledgements</w:t>
      </w:r>
    </w:p>
    <w:p w14:paraId="651815A9" w14:textId="77777777" w:rsidR="00E42C03" w:rsidRDefault="00E42C03" w:rsidP="00E42C03">
      <w:pPr>
        <w:rPr>
          <w:b/>
        </w:rPr>
      </w:pPr>
    </w:p>
    <w:p w14:paraId="4AD6FE44" w14:textId="6B09769B" w:rsidR="00E42C03" w:rsidRPr="00E42C03" w:rsidRDefault="00E42C03" w:rsidP="00E42C03">
      <w:pPr>
        <w:rPr>
          <w:b/>
        </w:rPr>
      </w:pPr>
      <w:r w:rsidRPr="00554360">
        <w:rPr>
          <w:bCs/>
        </w:rPr>
        <w:t xml:space="preserve">The authors would like to thank </w:t>
      </w:r>
      <w:r>
        <w:rPr>
          <w:bCs/>
        </w:rPr>
        <w:t>Stephen Braun</w:t>
      </w:r>
      <w:r w:rsidRPr="00554360">
        <w:rPr>
          <w:bCs/>
        </w:rPr>
        <w:t xml:space="preserve"> </w:t>
      </w:r>
      <w:r>
        <w:rPr>
          <w:bCs/>
        </w:rPr>
        <w:t xml:space="preserve">and Rowan Mahon </w:t>
      </w:r>
      <w:r w:rsidRPr="00554360">
        <w:rPr>
          <w:bCs/>
        </w:rPr>
        <w:t xml:space="preserve">for assistance with writing support and critical review of the manuscript. </w:t>
      </w:r>
    </w:p>
    <w:p w14:paraId="34E540F5" w14:textId="77777777" w:rsidR="00E42C03" w:rsidRDefault="00E42C03" w:rsidP="00E42C03">
      <w:pPr>
        <w:rPr>
          <w:bCs/>
        </w:rPr>
      </w:pPr>
    </w:p>
    <w:p w14:paraId="3E243C24" w14:textId="77777777" w:rsidR="00E42C03" w:rsidRDefault="00E42C03" w:rsidP="00E42C03">
      <w:pPr>
        <w:spacing w:line="360" w:lineRule="auto"/>
        <w:rPr>
          <w:bCs/>
        </w:rPr>
      </w:pPr>
    </w:p>
    <w:p w14:paraId="0F24006E" w14:textId="77777777" w:rsidR="00E42C03" w:rsidRPr="0041276F" w:rsidRDefault="00E42C03" w:rsidP="00E42C03">
      <w:pPr>
        <w:spacing w:line="360" w:lineRule="auto"/>
        <w:rPr>
          <w:b/>
        </w:rPr>
      </w:pPr>
      <w:r w:rsidRPr="0041276F">
        <w:rPr>
          <w:b/>
        </w:rPr>
        <w:t>Funding</w:t>
      </w:r>
    </w:p>
    <w:p w14:paraId="73313D25" w14:textId="0FA4E53D" w:rsidR="00E42C03" w:rsidRPr="000852EB" w:rsidRDefault="00E42C03" w:rsidP="00E42C03">
      <w:pPr>
        <w:spacing w:line="360" w:lineRule="auto"/>
        <w:rPr>
          <w:bCs/>
        </w:rPr>
      </w:pPr>
      <w:r>
        <w:rPr>
          <w:bCs/>
        </w:rPr>
        <w:t>This study and the journal’s Rapid Service Fee was funded entirely by Pear Therapeutics (US), Inc.</w:t>
      </w:r>
    </w:p>
    <w:p w14:paraId="4303B5B1" w14:textId="77777777" w:rsidR="00E42C03" w:rsidRDefault="00E42C03" w:rsidP="00E42C03">
      <w:pPr>
        <w:spacing w:line="360" w:lineRule="auto"/>
        <w:rPr>
          <w:b/>
        </w:rPr>
      </w:pPr>
    </w:p>
    <w:p w14:paraId="005E2DE2" w14:textId="77777777" w:rsidR="00E42C03" w:rsidRDefault="00E42C03" w:rsidP="00E42C03">
      <w:pPr>
        <w:spacing w:line="360" w:lineRule="auto"/>
        <w:rPr>
          <w:b/>
        </w:rPr>
      </w:pPr>
      <w:r>
        <w:rPr>
          <w:b/>
        </w:rPr>
        <w:t>Authorship</w:t>
      </w:r>
    </w:p>
    <w:p w14:paraId="3812DDC4" w14:textId="77777777" w:rsidR="00E42C03" w:rsidRPr="0041276F" w:rsidRDefault="00E42C03" w:rsidP="00E42C03">
      <w:pPr>
        <w:autoSpaceDE w:val="0"/>
        <w:autoSpaceDN w:val="0"/>
        <w:adjustRightInd w:val="0"/>
      </w:pPr>
      <w:r w:rsidRPr="0041276F">
        <w:t>All named authors meet the International Committee of Medical Journal Editors (ICMJE) criteria</w:t>
      </w:r>
    </w:p>
    <w:p w14:paraId="46D2778E" w14:textId="77777777" w:rsidR="00E42C03" w:rsidRDefault="00E42C03" w:rsidP="00E42C03">
      <w:pPr>
        <w:autoSpaceDE w:val="0"/>
        <w:autoSpaceDN w:val="0"/>
        <w:adjustRightInd w:val="0"/>
      </w:pPr>
      <w:r w:rsidRPr="0041276F">
        <w:t>for authorship for this article, take responsibility for the integrity of the work as a whole, and have</w:t>
      </w:r>
      <w:r>
        <w:t xml:space="preserve"> </w:t>
      </w:r>
      <w:r w:rsidRPr="0041276F">
        <w:t>given their approval for this version to be published.</w:t>
      </w:r>
      <w:r>
        <w:t xml:space="preserve"> </w:t>
      </w:r>
    </w:p>
    <w:p w14:paraId="1341522A" w14:textId="77777777" w:rsidR="00E42C03" w:rsidRDefault="00E42C03" w:rsidP="00E42C03">
      <w:pPr>
        <w:autoSpaceDE w:val="0"/>
        <w:autoSpaceDN w:val="0"/>
        <w:adjustRightInd w:val="0"/>
      </w:pPr>
    </w:p>
    <w:p w14:paraId="4BF9C4FD" w14:textId="77777777" w:rsidR="00E42C03" w:rsidRDefault="00E42C03" w:rsidP="00E42C03">
      <w:pPr>
        <w:autoSpaceDE w:val="0"/>
        <w:autoSpaceDN w:val="0"/>
        <w:adjustRightInd w:val="0"/>
        <w:rPr>
          <w:b/>
          <w:bCs/>
        </w:rPr>
      </w:pPr>
      <w:r w:rsidRPr="0041276F">
        <w:rPr>
          <w:b/>
          <w:bCs/>
        </w:rPr>
        <w:t>Author contributions</w:t>
      </w:r>
    </w:p>
    <w:p w14:paraId="4806EC6F" w14:textId="77777777" w:rsidR="00E42C03" w:rsidRPr="00C36E6F" w:rsidRDefault="00E42C03" w:rsidP="00E42C03">
      <w:pPr>
        <w:autoSpaceDE w:val="0"/>
        <w:autoSpaceDN w:val="0"/>
        <w:adjustRightInd w:val="0"/>
      </w:pPr>
      <w:r w:rsidRPr="00C36E6F">
        <w:t>All authors contributed to the study conception and design. Material preparation, data</w:t>
      </w:r>
    </w:p>
    <w:p w14:paraId="4CA945F3" w14:textId="2CDC2C69" w:rsidR="00E42C03" w:rsidRDefault="00E42C03" w:rsidP="00E42C03">
      <w:pPr>
        <w:rPr>
          <w:b/>
          <w:bCs/>
        </w:rPr>
      </w:pPr>
      <w:r w:rsidRPr="00C36E6F">
        <w:t>collection, and analysis were performed by Samuel Colman, Laura Kauffman, Charles Ruetsch, and Kathryn Anastassopoulos. The first draft of the manuscript was written by Neel Shah, and all authors commented on subsequent versions of the manuscript. All authors read and approved the final manuscript.</w:t>
      </w:r>
      <w:r w:rsidRPr="0041276F">
        <w:rPr>
          <w:b/>
          <w:bCs/>
        </w:rPr>
        <w:t xml:space="preserve"> </w:t>
      </w:r>
    </w:p>
    <w:p w14:paraId="15A091D6" w14:textId="216CECA9" w:rsidR="00E42C03" w:rsidRDefault="00E42C03" w:rsidP="00E42C03">
      <w:pPr>
        <w:rPr>
          <w:b/>
          <w:bCs/>
        </w:rPr>
      </w:pPr>
    </w:p>
    <w:p w14:paraId="66E1967F" w14:textId="77777777" w:rsidR="00E42C03" w:rsidRPr="00DB367F" w:rsidRDefault="00E42C03" w:rsidP="00E42C03">
      <w:pPr>
        <w:spacing w:line="360" w:lineRule="auto"/>
        <w:rPr>
          <w:b/>
        </w:rPr>
      </w:pPr>
      <w:r w:rsidRPr="00DB367F">
        <w:rPr>
          <w:b/>
        </w:rPr>
        <w:t>Compliance with Ethics Guidelines</w:t>
      </w:r>
    </w:p>
    <w:p w14:paraId="77577D58" w14:textId="77777777" w:rsidR="00E42C03" w:rsidRPr="008645E4" w:rsidRDefault="00E42C03" w:rsidP="00E42C03">
      <w:pPr>
        <w:keepNext/>
        <w:pBdr>
          <w:top w:val="nil"/>
          <w:left w:val="nil"/>
          <w:bottom w:val="nil"/>
          <w:right w:val="nil"/>
          <w:between w:val="nil"/>
        </w:pBdr>
        <w:rPr>
          <w:i/>
          <w:color w:val="000000"/>
        </w:rPr>
      </w:pPr>
      <w:r w:rsidRPr="003616C9">
        <w:rPr>
          <w:color w:val="000000"/>
        </w:rPr>
        <w:t xml:space="preserve">This study received a waiver of authorization for the use and disclosure of protected health information (PHI) and a determination of exempt status under 45 CFR § 46.104(d)(4) from Western Institutional Review Board on </w:t>
      </w:r>
      <w:r>
        <w:rPr>
          <w:color w:val="000000"/>
        </w:rPr>
        <w:t>October 21</w:t>
      </w:r>
      <w:r w:rsidRPr="003616C9">
        <w:rPr>
          <w:color w:val="000000"/>
        </w:rPr>
        <w:t>, 202</w:t>
      </w:r>
      <w:r>
        <w:rPr>
          <w:color w:val="000000"/>
        </w:rPr>
        <w:t>1</w:t>
      </w:r>
      <w:r w:rsidRPr="003616C9">
        <w:rPr>
          <w:color w:val="000000"/>
        </w:rPr>
        <w:t>.</w:t>
      </w:r>
    </w:p>
    <w:p w14:paraId="6ABFC27E" w14:textId="77777777" w:rsidR="00E42C03" w:rsidRDefault="00E42C03" w:rsidP="00E42C03">
      <w:pPr>
        <w:rPr>
          <w:b/>
          <w:bCs/>
        </w:rPr>
      </w:pPr>
    </w:p>
    <w:p w14:paraId="4EF7045C" w14:textId="77777777" w:rsidR="00E42C03" w:rsidRPr="00DB367F" w:rsidRDefault="00E42C03" w:rsidP="00E42C03">
      <w:pPr>
        <w:rPr>
          <w:b/>
        </w:rPr>
      </w:pPr>
      <w:r w:rsidRPr="00DB367F">
        <w:rPr>
          <w:b/>
        </w:rPr>
        <w:t>Disclosures</w:t>
      </w:r>
    </w:p>
    <w:p w14:paraId="756F14EF" w14:textId="77777777" w:rsidR="00E42C03" w:rsidRPr="00582687" w:rsidRDefault="00E42C03" w:rsidP="00E42C03">
      <w:pPr>
        <w:rPr>
          <w:bCs/>
        </w:rPr>
      </w:pPr>
      <w:r w:rsidRPr="00DD4920">
        <w:t>Fulton</w:t>
      </w:r>
      <w:r w:rsidRPr="00446778">
        <w:t xml:space="preserve"> Velez, </w:t>
      </w:r>
      <w:r>
        <w:t>Neel Shah, and Yuri Maricich</w:t>
      </w:r>
      <w:r w:rsidRPr="00446778">
        <w:t xml:space="preserve"> </w:t>
      </w:r>
      <w:r>
        <w:t xml:space="preserve">are employees of </w:t>
      </w:r>
      <w:r>
        <w:rPr>
          <w:bCs/>
        </w:rPr>
        <w:t xml:space="preserve">Pear Therapeutics (US), Inc. </w:t>
      </w:r>
      <w:r w:rsidRPr="00446778">
        <w:t>Sam</w:t>
      </w:r>
      <w:r>
        <w:t>uel</w:t>
      </w:r>
      <w:r w:rsidRPr="00446778">
        <w:t xml:space="preserve"> Colman, Laura Kauffman</w:t>
      </w:r>
      <w:r>
        <w:t xml:space="preserve">, and </w:t>
      </w:r>
      <w:r w:rsidRPr="00446778">
        <w:t>Kathryn Anastassopoulos</w:t>
      </w:r>
      <w:r>
        <w:t xml:space="preserve"> are employees Market Access Consulting, Labcorp Drug Development, which participated in this study under contract with </w:t>
      </w:r>
      <w:r>
        <w:rPr>
          <w:bCs/>
        </w:rPr>
        <w:t xml:space="preserve">Pear Therapeutics (US), Inc. </w:t>
      </w:r>
      <w:r w:rsidRPr="00446778">
        <w:t>Charles Ruetsch</w:t>
      </w:r>
      <w:r>
        <w:t xml:space="preserve"> is an employee of Health Analytics, which participated in this study under contract with </w:t>
      </w:r>
      <w:r>
        <w:rPr>
          <w:bCs/>
        </w:rPr>
        <w:t>Pear Therapeutics (US), Inc.</w:t>
      </w:r>
      <w:r w:rsidRPr="00DB367F">
        <w:rPr>
          <w:bCs/>
        </w:rPr>
        <w:t xml:space="preserve"> </w:t>
      </w:r>
      <w:r w:rsidRPr="009F3386">
        <w:rPr>
          <w:bCs/>
        </w:rPr>
        <w:t>S</w:t>
      </w:r>
      <w:r>
        <w:rPr>
          <w:bCs/>
        </w:rPr>
        <w:t xml:space="preserve">ean Murphy </w:t>
      </w:r>
      <w:r w:rsidRPr="009F3386">
        <w:rPr>
          <w:bCs/>
        </w:rPr>
        <w:t>is not an employee of Pear Therapeutics, Inc., and was not compensated to perform the research for his role as an author.</w:t>
      </w:r>
    </w:p>
    <w:p w14:paraId="14ED5D23" w14:textId="77777777" w:rsidR="00E42C03" w:rsidRDefault="00E42C03" w:rsidP="00E42C03">
      <w:pPr>
        <w:rPr>
          <w:b/>
          <w:bCs/>
        </w:rPr>
      </w:pPr>
    </w:p>
    <w:p w14:paraId="711AC3BB" w14:textId="3CA22775" w:rsidR="00E42C03" w:rsidRDefault="00E42C03" w:rsidP="00E42C03">
      <w:pPr>
        <w:rPr>
          <w:b/>
          <w:bCs/>
        </w:rPr>
      </w:pPr>
      <w:r>
        <w:rPr>
          <w:b/>
          <w:bCs/>
        </w:rPr>
        <w:t>Data Availability</w:t>
      </w:r>
    </w:p>
    <w:p w14:paraId="2AD3C9BB" w14:textId="77777777" w:rsidR="00E42C03" w:rsidRDefault="00E42C03" w:rsidP="00E42C03">
      <w:r w:rsidRPr="000219D2">
        <w:rPr>
          <w:color w:val="222222"/>
          <w:shd w:val="clear" w:color="auto" w:fill="FFFFFF"/>
        </w:rPr>
        <w:lastRenderedPageBreak/>
        <w:t xml:space="preserve">The datasets generated during and/or analyzed during the current study are not publicly available </w:t>
      </w:r>
      <w:r>
        <w:rPr>
          <w:color w:val="222222"/>
          <w:shd w:val="clear" w:color="auto" w:fill="FFFFFF"/>
        </w:rPr>
        <w:t>because the data source (</w:t>
      </w:r>
      <w:r w:rsidRPr="000219D2">
        <w:t>Health Verity</w:t>
      </w:r>
      <w:r>
        <w:t>)</w:t>
      </w:r>
      <w:r w:rsidRPr="000219D2">
        <w:t xml:space="preserve"> requires licensees </w:t>
      </w:r>
      <w:r>
        <w:t xml:space="preserve">(i.e., Pear Therapeutics (US), Inc.) </w:t>
      </w:r>
      <w:r w:rsidRPr="000219D2">
        <w:t xml:space="preserve">to purchase data directly from them. </w:t>
      </w:r>
    </w:p>
    <w:p w14:paraId="6C592076" w14:textId="77777777" w:rsidR="00E42C03" w:rsidRDefault="00E42C03" w:rsidP="002541D9">
      <w:pPr>
        <w:spacing w:line="480" w:lineRule="auto"/>
        <w:rPr>
          <w:b/>
        </w:rPr>
      </w:pPr>
    </w:p>
    <w:p w14:paraId="429BDDA9" w14:textId="0632CF9C" w:rsidR="00B96DA7" w:rsidRDefault="00B96DA7" w:rsidP="002541D9">
      <w:pPr>
        <w:spacing w:line="480" w:lineRule="auto"/>
        <w:rPr>
          <w:b/>
        </w:rPr>
      </w:pPr>
    </w:p>
    <w:p w14:paraId="668D0043" w14:textId="6346FBA3" w:rsidR="00201AC2" w:rsidRDefault="001559EB" w:rsidP="002541D9">
      <w:pPr>
        <w:spacing w:line="480" w:lineRule="auto"/>
        <w:rPr>
          <w:b/>
        </w:rPr>
      </w:pPr>
      <w:r>
        <w:rPr>
          <w:b/>
        </w:rPr>
        <w:t>References</w:t>
      </w:r>
    </w:p>
    <w:p w14:paraId="13888E17" w14:textId="77777777" w:rsidR="00C20B73" w:rsidRPr="00C20B73" w:rsidRDefault="00201AC2" w:rsidP="00C20B73">
      <w:pPr>
        <w:pStyle w:val="EndNoteBibliography"/>
        <w:spacing w:after="240"/>
      </w:pPr>
      <w:r>
        <w:rPr>
          <w:b/>
        </w:rPr>
        <w:fldChar w:fldCharType="begin"/>
      </w:r>
      <w:r>
        <w:rPr>
          <w:b/>
        </w:rPr>
        <w:instrText xml:space="preserve"> ADDIN EN.REFLIST </w:instrText>
      </w:r>
      <w:r>
        <w:rPr>
          <w:b/>
        </w:rPr>
        <w:fldChar w:fldCharType="separate"/>
      </w:r>
      <w:bookmarkStart w:id="1" w:name="_ENREF_1"/>
      <w:r w:rsidR="00C20B73" w:rsidRPr="00C20B73">
        <w:t>1.</w:t>
      </w:r>
      <w:r w:rsidR="00C20B73" w:rsidRPr="00C20B73">
        <w:tab/>
        <w:t>Centers for Disease Control &amp; Prevention. Understanding the epidemic 2019 [Available from: https://www.cdc.gov/drugoverdose/epidemic/index.html.</w:t>
      </w:r>
      <w:bookmarkEnd w:id="1"/>
    </w:p>
    <w:p w14:paraId="0691D885" w14:textId="77777777" w:rsidR="00C20B73" w:rsidRPr="00C20B73" w:rsidRDefault="00C20B73" w:rsidP="00C20B73">
      <w:pPr>
        <w:pStyle w:val="EndNoteBibliography"/>
        <w:spacing w:after="240"/>
      </w:pPr>
      <w:bookmarkStart w:id="2" w:name="_ENREF_2"/>
      <w:r w:rsidRPr="00C20B73">
        <w:t>2.</w:t>
      </w:r>
      <w:r w:rsidRPr="00C20B73">
        <w:tab/>
        <w:t>Ciccarone D. The rise of illicit fentanyls, stimulants and the fourth wave of the opioid overdose crisis. Curr Opin Psychiatry. 2021;34(4):344-50.</w:t>
      </w:r>
      <w:bookmarkEnd w:id="2"/>
    </w:p>
    <w:p w14:paraId="62F7F205" w14:textId="77777777" w:rsidR="00C20B73" w:rsidRPr="00C20B73" w:rsidRDefault="00C20B73" w:rsidP="00C20B73">
      <w:pPr>
        <w:pStyle w:val="EndNoteBibliography"/>
        <w:spacing w:after="240"/>
      </w:pPr>
      <w:bookmarkStart w:id="3" w:name="_ENREF_3"/>
      <w:r w:rsidRPr="00C20B73">
        <w:t>3.</w:t>
      </w:r>
      <w:r w:rsidRPr="00C20B73">
        <w:tab/>
        <w:t>Centers for Disease Control &amp; Prevention. Increse in fatal drug overdoses across the United States driven by synthetic opioids before and during the COVID-19 pandemic  [Available from: https://emergency.cdc.gov/han/2020/han00438.asp?ACSTrackingID=USCDC_511-DM44961&amp;ACSTrackingLabel=HAN%20438%20-%20General%20Public&amp;deliveryName=USCDC_511-DM44961.</w:t>
      </w:r>
      <w:bookmarkEnd w:id="3"/>
    </w:p>
    <w:p w14:paraId="2FF9A37C" w14:textId="77777777" w:rsidR="00C20B73" w:rsidRPr="00C20B73" w:rsidRDefault="00C20B73" w:rsidP="00C20B73">
      <w:pPr>
        <w:pStyle w:val="EndNoteBibliography"/>
        <w:spacing w:after="240"/>
      </w:pPr>
      <w:bookmarkStart w:id="4" w:name="_ENREF_4"/>
      <w:r w:rsidRPr="00C20B73">
        <w:t>4.</w:t>
      </w:r>
      <w:r w:rsidRPr="00C20B73">
        <w:tab/>
        <w:t>Centers for Disease Control &amp; Prevention. Vital Statistics Rapid Release: Provisional Drug Overdose Death Counts  [Available from: https://www.cdc.gov/nchs/nvss/vsrr/drug-overdose-data.htm.</w:t>
      </w:r>
      <w:bookmarkEnd w:id="4"/>
    </w:p>
    <w:p w14:paraId="34B60D9B" w14:textId="77777777" w:rsidR="00C20B73" w:rsidRPr="00C20B73" w:rsidRDefault="00C20B73" w:rsidP="00C20B73">
      <w:pPr>
        <w:pStyle w:val="EndNoteBibliography"/>
        <w:spacing w:after="240"/>
      </w:pPr>
      <w:bookmarkStart w:id="5" w:name="_ENREF_5"/>
      <w:r w:rsidRPr="00C20B73">
        <w:t>5.</w:t>
      </w:r>
      <w:r w:rsidRPr="00C20B73">
        <w:tab/>
        <w:t>Centers for Disease Control &amp; Prevention. Nonfatal Drug Overdoses  [Available from: https://www.cdc.gov/drugoverdose/nonfatal/index.html.</w:t>
      </w:r>
      <w:bookmarkEnd w:id="5"/>
    </w:p>
    <w:p w14:paraId="1F062AD6" w14:textId="77777777" w:rsidR="00C20B73" w:rsidRPr="00C20B73" w:rsidRDefault="00C20B73" w:rsidP="00C20B73">
      <w:pPr>
        <w:pStyle w:val="EndNoteBibliography"/>
        <w:spacing w:after="240"/>
      </w:pPr>
      <w:bookmarkStart w:id="6" w:name="_ENREF_6"/>
      <w:r w:rsidRPr="00C20B73">
        <w:t>6.</w:t>
      </w:r>
      <w:r w:rsidRPr="00C20B73">
        <w:tab/>
        <w:t>Assistant Secretary for Planning and Evaluation, US Department of Health and Human Services. Non-Fatal Opioid Overdose and Associated Health Outcomes: Final Summary Report September 2019  [Available from: https://aspe.hhs.gov/reports/non-fatal-opioid-overdose-associated-health-outcomes-final-summary-report-0.</w:t>
      </w:r>
      <w:bookmarkEnd w:id="6"/>
    </w:p>
    <w:p w14:paraId="62B40FDF" w14:textId="77777777" w:rsidR="00C20B73" w:rsidRPr="00C20B73" w:rsidRDefault="00C20B73" w:rsidP="00C20B73">
      <w:pPr>
        <w:pStyle w:val="EndNoteBibliography"/>
        <w:spacing w:after="240"/>
      </w:pPr>
      <w:bookmarkStart w:id="7" w:name="_ENREF_7"/>
      <w:r w:rsidRPr="00C20B73">
        <w:t>7.</w:t>
      </w:r>
      <w:r w:rsidRPr="00C20B73">
        <w:tab/>
        <w:t>Ruetsch C, Tkacz J, Nadipelli VR, Brady BL, Ronquest N, Un H, et al. Heterogeneity of nonadherent buprenorphine patients: subgroup characteristics and outcomes. Am J Manag Care. 2017;23(6):e172-e9.</w:t>
      </w:r>
      <w:bookmarkEnd w:id="7"/>
    </w:p>
    <w:p w14:paraId="78876BA2" w14:textId="77777777" w:rsidR="00C20B73" w:rsidRPr="00C20B73" w:rsidRDefault="00C20B73" w:rsidP="00C20B73">
      <w:pPr>
        <w:pStyle w:val="EndNoteBibliography"/>
        <w:spacing w:after="240"/>
      </w:pPr>
      <w:bookmarkStart w:id="8" w:name="_ENREF_8"/>
      <w:r w:rsidRPr="00C20B73">
        <w:t>8.</w:t>
      </w:r>
      <w:r w:rsidRPr="00C20B73">
        <w:tab/>
        <w:t>Lynch FL, McCarty D, Mertens J, Perrin NA, Green CA, Parthasarathy S, et al. Costs of care for persons with opioid dependence in commercial integrated health systems. Addiction Science &amp; Clinical Practice. 2014;9(1):16.</w:t>
      </w:r>
      <w:bookmarkEnd w:id="8"/>
    </w:p>
    <w:p w14:paraId="2357059E" w14:textId="77777777" w:rsidR="00C20B73" w:rsidRPr="00C20B73" w:rsidRDefault="00C20B73" w:rsidP="00C20B73">
      <w:pPr>
        <w:pStyle w:val="EndNoteBibliography"/>
        <w:spacing w:after="240"/>
      </w:pPr>
      <w:bookmarkStart w:id="9" w:name="_ENREF_9"/>
      <w:r w:rsidRPr="00C20B73">
        <w:t>9.</w:t>
      </w:r>
      <w:r w:rsidRPr="00C20B73">
        <w:tab/>
        <w:t>Ronquest NA, Willson TM, Montejano LB, Nadipelli VR, Wollschlaeger BA. Relationship between buprenorphine adherence and relapse, health care utilization and costs in privately and publicly insured patients with opioid use disorder. Subst Abuse Rehabil. 2018;9:59-78.</w:t>
      </w:r>
      <w:bookmarkEnd w:id="9"/>
    </w:p>
    <w:p w14:paraId="55A85B82" w14:textId="77777777" w:rsidR="00C20B73" w:rsidRPr="00C20B73" w:rsidRDefault="00C20B73" w:rsidP="00C20B73">
      <w:pPr>
        <w:pStyle w:val="EndNoteBibliography"/>
        <w:spacing w:after="240"/>
      </w:pPr>
      <w:bookmarkStart w:id="10" w:name="_ENREF_10"/>
      <w:r w:rsidRPr="00C20B73">
        <w:t>10.</w:t>
      </w:r>
      <w:r w:rsidRPr="00C20B73">
        <w:tab/>
        <w:t>American Society of Addiction Medicine. National Practice Guideline for the Treatment of Opioid Use Disorder, 2020 Focused Update.</w:t>
      </w:r>
      <w:bookmarkEnd w:id="10"/>
    </w:p>
    <w:p w14:paraId="0DDC5AEE" w14:textId="77777777" w:rsidR="00C20B73" w:rsidRPr="00C20B73" w:rsidRDefault="00C20B73" w:rsidP="00C20B73">
      <w:pPr>
        <w:pStyle w:val="EndNoteBibliography"/>
        <w:spacing w:after="240"/>
      </w:pPr>
      <w:bookmarkStart w:id="11" w:name="_ENREF_11"/>
      <w:r w:rsidRPr="00C20B73">
        <w:t>11.</w:t>
      </w:r>
      <w:r w:rsidRPr="00C20B73">
        <w:tab/>
        <w:t>Substance Abuse and Mental Health Services Administration. TIP 63: Medications for Opioid Use Disorder (Updated 2021)  [Available from: https://store.samhsa.gov/sites/default/files/SAMHSA_Digital_Download/PEP21-02-01-002.pdf.</w:t>
      </w:r>
      <w:bookmarkEnd w:id="11"/>
    </w:p>
    <w:p w14:paraId="3A1591C7" w14:textId="77777777" w:rsidR="00C20B73" w:rsidRPr="00C20B73" w:rsidRDefault="00C20B73" w:rsidP="00C20B73">
      <w:pPr>
        <w:pStyle w:val="EndNoteBibliography"/>
        <w:spacing w:after="240"/>
      </w:pPr>
      <w:bookmarkStart w:id="12" w:name="_ENREF_12"/>
      <w:r w:rsidRPr="00C20B73">
        <w:t>12.</w:t>
      </w:r>
      <w:r w:rsidRPr="00C20B73">
        <w:tab/>
        <w:t>Christensen DR, Landes RD, Jackson L, Marsch LA, Mancino MJ, Chopra MP, et al. Adding an internet-delivered treatment to an efficacious treatment package for opioid dependence. J Consult Clin Psychol. 2014;82(6):964-72.</w:t>
      </w:r>
      <w:bookmarkEnd w:id="12"/>
    </w:p>
    <w:p w14:paraId="58EAE4DE" w14:textId="77777777" w:rsidR="00C20B73" w:rsidRPr="00C20B73" w:rsidRDefault="00C20B73" w:rsidP="00C20B73">
      <w:pPr>
        <w:pStyle w:val="EndNoteBibliography"/>
        <w:spacing w:after="240"/>
      </w:pPr>
      <w:bookmarkStart w:id="13" w:name="_ENREF_13"/>
      <w:r w:rsidRPr="00C20B73">
        <w:lastRenderedPageBreak/>
        <w:t>13.</w:t>
      </w:r>
      <w:r w:rsidRPr="00C20B73">
        <w:tab/>
        <w:t>Velez FF, Colman S, Kauffman L, Ruetsch C, Anastassopoulos K. Real-world reduction in healthcare resource utilization following treatment of opioid use disorder with reSET-O, a novel prescription digital therapeutic. Expert Rev Pharmacoecon Outcomes Res. 2021;21(1):69-76.</w:t>
      </w:r>
      <w:bookmarkEnd w:id="13"/>
    </w:p>
    <w:p w14:paraId="450B6878" w14:textId="77777777" w:rsidR="00C20B73" w:rsidRPr="00C20B73" w:rsidRDefault="00C20B73" w:rsidP="00C20B73">
      <w:pPr>
        <w:pStyle w:val="EndNoteBibliography"/>
        <w:spacing w:after="240"/>
      </w:pPr>
      <w:bookmarkStart w:id="14" w:name="_ENREF_14"/>
      <w:r w:rsidRPr="00C20B73">
        <w:t>14.</w:t>
      </w:r>
      <w:r w:rsidRPr="00C20B73">
        <w:tab/>
        <w:t>Moore BA, Fiellin DA, Cutter CJ, Buono FD, Barry DT, Fiellin LE, et al. Cognitive Behavioral Therapy Improves Treatment Outcomes for Prescription Opioid Users in Primary Care Buprenorphine Treatment. J Subst Abuse Treat. 2016;71:54-7.</w:t>
      </w:r>
      <w:bookmarkEnd w:id="14"/>
    </w:p>
    <w:p w14:paraId="4F638F2D" w14:textId="77777777" w:rsidR="00C20B73" w:rsidRPr="00C20B73" w:rsidRDefault="00C20B73" w:rsidP="00C20B73">
      <w:pPr>
        <w:pStyle w:val="EndNoteBibliography"/>
        <w:spacing w:after="240"/>
      </w:pPr>
      <w:bookmarkStart w:id="15" w:name="_ENREF_15"/>
      <w:r w:rsidRPr="00C20B73">
        <w:t>15.</w:t>
      </w:r>
      <w:r w:rsidRPr="00C20B73">
        <w:tab/>
        <w:t>National Institute on Drug Abuse. Principles of Drug Addiction Treatment: A research-based guide (Third edition): Drug Addiction Treatment in the United States  [Available from: https://www.drugabuse.gov/publications/principles-drug-addiction-treatment-research-based-guide-third-edition/drug-addiction-treatment-in-united-states.</w:t>
      </w:r>
      <w:bookmarkEnd w:id="15"/>
    </w:p>
    <w:p w14:paraId="5EFF5370" w14:textId="77777777" w:rsidR="00C20B73" w:rsidRPr="00C20B73" w:rsidRDefault="00C20B73" w:rsidP="00C20B73">
      <w:pPr>
        <w:pStyle w:val="EndNoteBibliography"/>
        <w:spacing w:after="240"/>
      </w:pPr>
      <w:bookmarkStart w:id="16" w:name="_ENREF_16"/>
      <w:r w:rsidRPr="00C20B73">
        <w:t>16.</w:t>
      </w:r>
      <w:r w:rsidRPr="00C20B73">
        <w:tab/>
        <w:t>Pear Therapeutics Inc. reSET-O [clinician directions for use].  2017.</w:t>
      </w:r>
      <w:bookmarkEnd w:id="16"/>
    </w:p>
    <w:p w14:paraId="118D8571" w14:textId="77777777" w:rsidR="00C20B73" w:rsidRPr="00C20B73" w:rsidRDefault="00C20B73" w:rsidP="00C20B73">
      <w:pPr>
        <w:pStyle w:val="EndNoteBibliography"/>
        <w:spacing w:after="240"/>
      </w:pPr>
      <w:bookmarkStart w:id="17" w:name="_ENREF_17"/>
      <w:r w:rsidRPr="00C20B73">
        <w:t>17.</w:t>
      </w:r>
      <w:r w:rsidRPr="00C20B73">
        <w:tab/>
        <w:t>Campbell AN, Nunes EV, Matthews AG, et al. Internet-delivered treatment for substance abuse: a multisite randomized controlled trial. Am J Psychiatry. 2014;171(6):683-90.</w:t>
      </w:r>
      <w:bookmarkEnd w:id="17"/>
    </w:p>
    <w:p w14:paraId="4192E4B9" w14:textId="77777777" w:rsidR="00C20B73" w:rsidRPr="00C20B73" w:rsidRDefault="00C20B73" w:rsidP="00C20B73">
      <w:pPr>
        <w:pStyle w:val="EndNoteBibliography"/>
        <w:spacing w:after="240"/>
      </w:pPr>
      <w:bookmarkStart w:id="18" w:name="_ENREF_18"/>
      <w:r w:rsidRPr="00C20B73">
        <w:t>18.</w:t>
      </w:r>
      <w:r w:rsidRPr="00C20B73">
        <w:tab/>
        <w:t>Maricich YA, Bickel WK, Marsch LA, Gatchalian K, Botbyl J, Luderer HF. Safety and efficacy of a prescription digital therapeutic as an adjunct to buprenorphine for treatment of opioid use disorder. Curr Med Res Opin. 2021;37(2):167-73.</w:t>
      </w:r>
      <w:bookmarkEnd w:id="18"/>
    </w:p>
    <w:p w14:paraId="4E1EAAE7" w14:textId="77777777" w:rsidR="00C20B73" w:rsidRPr="00C20B73" w:rsidRDefault="00C20B73" w:rsidP="00C20B73">
      <w:pPr>
        <w:pStyle w:val="EndNoteBibliography"/>
        <w:spacing w:after="240"/>
      </w:pPr>
      <w:bookmarkStart w:id="19" w:name="_ENREF_19"/>
      <w:r w:rsidRPr="00C20B73">
        <w:t>19.</w:t>
      </w:r>
      <w:r w:rsidRPr="00C20B73">
        <w:tab/>
        <w:t>Maricich YA, Gerwien R, Kuo A, Malone DC, Velez FF. Real-world use and clinical outcomes after 24 weeks of treatment with a prescription digital therapeutic for opioid use disorder. Hosp Pract. 2021:1-8.</w:t>
      </w:r>
      <w:bookmarkEnd w:id="19"/>
    </w:p>
    <w:p w14:paraId="2B7A8B34" w14:textId="77777777" w:rsidR="00C20B73" w:rsidRPr="00C20B73" w:rsidRDefault="00C20B73" w:rsidP="00C20B73">
      <w:pPr>
        <w:pStyle w:val="EndNoteBibliography"/>
        <w:spacing w:after="240"/>
      </w:pPr>
      <w:bookmarkStart w:id="20" w:name="_ENREF_20"/>
      <w:r w:rsidRPr="00C20B73">
        <w:t>20.</w:t>
      </w:r>
      <w:r w:rsidRPr="00C20B73">
        <w:tab/>
        <w:t>Velez F, Colman S, Kauffman L, et al. Comparison of healthcare resource utilization between patients who engaged or did not engage with a prescription digital therapeutic for opioid use disorder. ClinicoEconomics and Outcomes Research. 2021;13:909-16.</w:t>
      </w:r>
      <w:bookmarkEnd w:id="20"/>
    </w:p>
    <w:p w14:paraId="50610AED" w14:textId="77777777" w:rsidR="00C20B73" w:rsidRPr="00C20B73" w:rsidRDefault="00C20B73" w:rsidP="00C20B73">
      <w:pPr>
        <w:pStyle w:val="EndNoteBibliography"/>
        <w:spacing w:after="240"/>
      </w:pPr>
      <w:bookmarkStart w:id="21" w:name="_ENREF_21"/>
      <w:r w:rsidRPr="00C20B73">
        <w:t>21.</w:t>
      </w:r>
      <w:r w:rsidRPr="00C20B73">
        <w:tab/>
        <w:t>Cramer JA, Roy A, Burrell A, Fairchild CJ, Fuldeore MJ, Ollendorf DA, et al. Medication compliance and persistence: terminology and definitions. Value Health. 2008;11(1):44-7.</w:t>
      </w:r>
      <w:bookmarkEnd w:id="21"/>
    </w:p>
    <w:p w14:paraId="1444798F" w14:textId="77777777" w:rsidR="00C20B73" w:rsidRPr="00C20B73" w:rsidRDefault="00C20B73" w:rsidP="00C20B73">
      <w:pPr>
        <w:pStyle w:val="EndNoteBibliography"/>
        <w:spacing w:after="240"/>
      </w:pPr>
      <w:bookmarkStart w:id="22" w:name="_ENREF_22"/>
      <w:r w:rsidRPr="00C20B73">
        <w:t>22.</w:t>
      </w:r>
      <w:r w:rsidRPr="00C20B73">
        <w:tab/>
        <w:t>Arifkhanova A, McCormick Kraus E, Al-Tayyib A, Taub J, Encinias A, McEwen D, et al. Estimating costs of hospitalizations associated with opioid use disorder or opioid misuse at a large, urban safety-net hospital-Denver, Colorado, 2017. Drug Alcohol Depend. 2021;218:108306.</w:t>
      </w:r>
      <w:bookmarkEnd w:id="22"/>
    </w:p>
    <w:p w14:paraId="1BE7E297" w14:textId="77777777" w:rsidR="00C20B73" w:rsidRPr="00C20B73" w:rsidRDefault="00C20B73" w:rsidP="00C20B73">
      <w:pPr>
        <w:pStyle w:val="EndNoteBibliography"/>
        <w:spacing w:after="240"/>
      </w:pPr>
      <w:bookmarkStart w:id="23" w:name="_ENREF_23"/>
      <w:r w:rsidRPr="00C20B73">
        <w:t>23.</w:t>
      </w:r>
      <w:r w:rsidRPr="00C20B73">
        <w:tab/>
        <w:t>Peterson C, Li M, Xu L, Mikosz CA, Luo F. Assessment of Annual Cost of Substance Use Disorder in US Hospitals. JAMA Netw Open. 2021;4(3):e210242.</w:t>
      </w:r>
      <w:bookmarkEnd w:id="23"/>
    </w:p>
    <w:p w14:paraId="61EA4F30" w14:textId="77777777" w:rsidR="00C20B73" w:rsidRPr="00C20B73" w:rsidRDefault="00C20B73" w:rsidP="00C20B73">
      <w:pPr>
        <w:pStyle w:val="EndNoteBibliography"/>
        <w:spacing w:after="240"/>
      </w:pPr>
      <w:bookmarkStart w:id="24" w:name="_ENREF_24"/>
      <w:r w:rsidRPr="00C20B73">
        <w:t>24.</w:t>
      </w:r>
      <w:r w:rsidRPr="00C20B73">
        <w:tab/>
        <w:t>Centers for Medicare and Medicaid Services (CMS). Medicare Hospital Outpatient Prospective Payment System Addendum A, April 2020 file. 2020 [Available from: https://www.cms.gov/Medicare/Medicare-Fee-For-Service-Payment/HospitalOutpatientPPS/Addendum-A-and-Addendum-B-Updates.</w:t>
      </w:r>
      <w:bookmarkEnd w:id="24"/>
    </w:p>
    <w:p w14:paraId="6AC8BF69" w14:textId="77777777" w:rsidR="00C20B73" w:rsidRPr="00C20B73" w:rsidRDefault="00C20B73" w:rsidP="00C20B73">
      <w:pPr>
        <w:pStyle w:val="EndNoteBibliography"/>
        <w:spacing w:after="240"/>
      </w:pPr>
      <w:bookmarkStart w:id="25" w:name="_ENREF_25"/>
      <w:r w:rsidRPr="00C20B73">
        <w:t>25.</w:t>
      </w:r>
      <w:r w:rsidRPr="00C20B73">
        <w:tab/>
        <w:t>Velez FF, Colman S, Kauffman L, Anastassopoulos K, Murphy S, Maricich Y. Real-world changes in US health system hospital-based services following treatment with a prescription digital therapeutic for opioid use disorder. Hosp Pract (1995). 2021:1-7.</w:t>
      </w:r>
      <w:bookmarkEnd w:id="25"/>
    </w:p>
    <w:p w14:paraId="43837137" w14:textId="77777777" w:rsidR="00C20B73" w:rsidRPr="00C20B73" w:rsidRDefault="00C20B73" w:rsidP="00C20B73">
      <w:pPr>
        <w:pStyle w:val="EndNoteBibliography"/>
      </w:pPr>
      <w:bookmarkStart w:id="26" w:name="_ENREF_26"/>
      <w:r w:rsidRPr="00C20B73">
        <w:t>26.</w:t>
      </w:r>
      <w:r w:rsidRPr="00C20B73">
        <w:tab/>
        <w:t>Velez FF, Ruetsch C, Maricich Y. Evidence of long-term real-world reduction in healthcare resource utilization following treatment of opioid use disorder with reSET-O, a novel prescription digital therapeutic. Expert Rev Pharmacoecon Outcomes Res. 2021;21(4):519-20.</w:t>
      </w:r>
      <w:bookmarkEnd w:id="26"/>
    </w:p>
    <w:p w14:paraId="195DE790" w14:textId="417BC00C" w:rsidR="001559EB" w:rsidRDefault="00201AC2" w:rsidP="002541D9">
      <w:pPr>
        <w:spacing w:line="480" w:lineRule="auto"/>
        <w:rPr>
          <w:b/>
        </w:rPr>
      </w:pPr>
      <w:r>
        <w:rPr>
          <w:b/>
        </w:rPr>
        <w:fldChar w:fldCharType="end"/>
      </w:r>
    </w:p>
    <w:p w14:paraId="30FB2EC2" w14:textId="49167E17" w:rsidR="00307DF5" w:rsidRDefault="00307DF5" w:rsidP="002541D9">
      <w:pPr>
        <w:spacing w:line="480" w:lineRule="auto"/>
        <w:rPr>
          <w:b/>
        </w:rPr>
      </w:pPr>
    </w:p>
    <w:p w14:paraId="7DF6D7E5" w14:textId="77777777" w:rsidR="001F1200" w:rsidRDefault="001F1200">
      <w:pPr>
        <w:rPr>
          <w:b/>
        </w:rPr>
      </w:pPr>
      <w:r>
        <w:rPr>
          <w:b/>
        </w:rPr>
        <w:lastRenderedPageBreak/>
        <w:br w:type="page"/>
      </w:r>
    </w:p>
    <w:p w14:paraId="76556609" w14:textId="72134A47" w:rsidR="001F1200" w:rsidRDefault="001F1200">
      <w:pPr>
        <w:rPr>
          <w:b/>
        </w:rPr>
      </w:pPr>
      <w:r>
        <w:rPr>
          <w:b/>
        </w:rPr>
        <w:lastRenderedPageBreak/>
        <w:t>Figure and Table Titles and Legends</w:t>
      </w:r>
    </w:p>
    <w:p w14:paraId="0C3CCE06" w14:textId="77777777" w:rsidR="001F1200" w:rsidRDefault="001F1200">
      <w:pPr>
        <w:rPr>
          <w:b/>
        </w:rPr>
      </w:pPr>
    </w:p>
    <w:p w14:paraId="4229F26C" w14:textId="12AED6A9" w:rsidR="001F1200" w:rsidRDefault="001F1200">
      <w:pPr>
        <w:rPr>
          <w:b/>
        </w:rPr>
      </w:pPr>
      <w:r>
        <w:rPr>
          <w:b/>
        </w:rPr>
        <w:t xml:space="preserve">Figure 1. </w:t>
      </w:r>
      <w:r w:rsidR="003313DF" w:rsidRPr="001F1200">
        <w:rPr>
          <w:bCs/>
        </w:rPr>
        <w:t>Drug Overdose Deaths by Drug or Drug Class</w:t>
      </w:r>
    </w:p>
    <w:p w14:paraId="299B5397" w14:textId="77777777" w:rsidR="001F1200" w:rsidRDefault="001F1200">
      <w:pPr>
        <w:rPr>
          <w:b/>
        </w:rPr>
      </w:pPr>
    </w:p>
    <w:p w14:paraId="643507E1" w14:textId="64BAD5B9" w:rsidR="001F1200" w:rsidRDefault="001F1200" w:rsidP="001F1200">
      <w:pPr>
        <w:rPr>
          <w:bCs/>
        </w:rPr>
      </w:pPr>
      <w:r w:rsidRPr="001F1200">
        <w:rPr>
          <w:b/>
        </w:rPr>
        <w:t>Legend:</w:t>
      </w:r>
      <w:r>
        <w:rPr>
          <w:b/>
        </w:rPr>
        <w:t xml:space="preserve">  </w:t>
      </w:r>
      <w:r>
        <w:rPr>
          <w:bCs/>
        </w:rPr>
        <w:t xml:space="preserve">Overdose deaths have accelerated since the advent of the COVID-19 pandemic and are now at record levels. </w:t>
      </w:r>
      <w:r w:rsidRPr="00D83C99">
        <w:rPr>
          <w:bCs/>
        </w:rPr>
        <w:t xml:space="preserve">Created using CDC overdose data (CSV file) available at: </w:t>
      </w:r>
      <w:hyperlink r:id="rId14" w:history="1">
        <w:r w:rsidRPr="00D83C99">
          <w:rPr>
            <w:rStyle w:val="Hyperlink"/>
            <w:bCs/>
          </w:rPr>
          <w:t>https://www.cdc.gov/nchs/nvss/vsrr/drug-overdose-data.htm</w:t>
        </w:r>
      </w:hyperlink>
      <w:r w:rsidRPr="00D83C99">
        <w:rPr>
          <w:bCs/>
        </w:rPr>
        <w:t xml:space="preserve"> (accessed 3/9/21)</w:t>
      </w:r>
    </w:p>
    <w:p w14:paraId="6EA5FAB6" w14:textId="194B68EE" w:rsidR="001F1200" w:rsidRDefault="001F1200" w:rsidP="001F1200">
      <w:pPr>
        <w:rPr>
          <w:bCs/>
        </w:rPr>
      </w:pPr>
    </w:p>
    <w:p w14:paraId="7D0524E2" w14:textId="345D430D" w:rsidR="001F1200" w:rsidRDefault="001F1200" w:rsidP="001F1200">
      <w:pPr>
        <w:rPr>
          <w:bCs/>
        </w:rPr>
      </w:pPr>
    </w:p>
    <w:p w14:paraId="78E2261B" w14:textId="46EA8EF9" w:rsidR="001F1200" w:rsidRDefault="001F1200" w:rsidP="001F1200">
      <w:pPr>
        <w:rPr>
          <w:bCs/>
        </w:rPr>
      </w:pPr>
      <w:r w:rsidRPr="001F1200">
        <w:rPr>
          <w:b/>
        </w:rPr>
        <w:t>Figure</w:t>
      </w:r>
      <w:r w:rsidR="003313DF">
        <w:rPr>
          <w:b/>
        </w:rPr>
        <w:t xml:space="preserve"> 2</w:t>
      </w:r>
      <w:r>
        <w:rPr>
          <w:bCs/>
        </w:rPr>
        <w:t xml:space="preserve">: </w:t>
      </w:r>
      <w:r w:rsidRPr="00E42C03">
        <w:rPr>
          <w:bCs/>
        </w:rPr>
        <w:t xml:space="preserve">CONSORT Diagram of </w:t>
      </w:r>
      <w:r w:rsidR="004B7665" w:rsidRPr="00E42C03">
        <w:rPr>
          <w:bCs/>
        </w:rPr>
        <w:t>P</w:t>
      </w:r>
      <w:r w:rsidRPr="00E42C03">
        <w:rPr>
          <w:bCs/>
        </w:rPr>
        <w:t xml:space="preserve">atient </w:t>
      </w:r>
      <w:r w:rsidR="004B7665" w:rsidRPr="00E42C03">
        <w:rPr>
          <w:bCs/>
        </w:rPr>
        <w:t>A</w:t>
      </w:r>
      <w:r w:rsidRPr="00E42C03">
        <w:rPr>
          <w:bCs/>
        </w:rPr>
        <w:t>ccrual</w:t>
      </w:r>
    </w:p>
    <w:p w14:paraId="6A285587" w14:textId="2E5D65B5" w:rsidR="001F1200" w:rsidRDefault="001F1200" w:rsidP="001F1200">
      <w:pPr>
        <w:rPr>
          <w:bCs/>
        </w:rPr>
      </w:pPr>
    </w:p>
    <w:p w14:paraId="5013A6D9" w14:textId="0BD17D4D" w:rsidR="001F1200" w:rsidRDefault="001F1200" w:rsidP="001F1200">
      <w:pPr>
        <w:rPr>
          <w:bCs/>
        </w:rPr>
      </w:pPr>
    </w:p>
    <w:p w14:paraId="7EC0ADDD" w14:textId="5BAFD42F" w:rsidR="001F1200" w:rsidRDefault="001F1200" w:rsidP="001F1200">
      <w:pPr>
        <w:rPr>
          <w:bCs/>
        </w:rPr>
      </w:pPr>
    </w:p>
    <w:p w14:paraId="036C089D" w14:textId="69230CC5" w:rsidR="001F1200" w:rsidRDefault="001F1200" w:rsidP="001F1200">
      <w:pPr>
        <w:rPr>
          <w:b/>
        </w:rPr>
      </w:pPr>
      <w:r w:rsidRPr="00724927">
        <w:rPr>
          <w:b/>
        </w:rPr>
        <w:t xml:space="preserve">Table 1. </w:t>
      </w:r>
      <w:r w:rsidRPr="00E42C03">
        <w:rPr>
          <w:bCs/>
        </w:rPr>
        <w:t>Demographics and Clinical Characteristics</w:t>
      </w:r>
    </w:p>
    <w:p w14:paraId="00ADDEC7" w14:textId="58D31049" w:rsidR="001F1200" w:rsidRDefault="001F1200" w:rsidP="001F1200">
      <w:pPr>
        <w:rPr>
          <w:b/>
        </w:rPr>
      </w:pPr>
    </w:p>
    <w:p w14:paraId="72F932C9" w14:textId="77777777" w:rsidR="001F1200" w:rsidRDefault="001F1200" w:rsidP="001F1200">
      <w:pPr>
        <w:rPr>
          <w:bCs/>
        </w:rPr>
      </w:pPr>
    </w:p>
    <w:p w14:paraId="0B7F34AE" w14:textId="5838A75A" w:rsidR="001F1200" w:rsidRDefault="001F1200" w:rsidP="001F1200">
      <w:pPr>
        <w:rPr>
          <w:b/>
        </w:rPr>
      </w:pPr>
      <w:r w:rsidRPr="00F419ED">
        <w:rPr>
          <w:b/>
        </w:rPr>
        <w:t xml:space="preserve">Table </w:t>
      </w:r>
      <w:r>
        <w:rPr>
          <w:b/>
        </w:rPr>
        <w:t>2</w:t>
      </w:r>
      <w:r w:rsidRPr="00F419ED">
        <w:rPr>
          <w:b/>
        </w:rPr>
        <w:t xml:space="preserve">. </w:t>
      </w:r>
      <w:r w:rsidRPr="00E42C03">
        <w:rPr>
          <w:bCs/>
        </w:rPr>
        <w:t xml:space="preserve">reSET-O </w:t>
      </w:r>
      <w:r w:rsidR="004B7665" w:rsidRPr="00E42C03">
        <w:rPr>
          <w:bCs/>
        </w:rPr>
        <w:t>C</w:t>
      </w:r>
      <w:r w:rsidRPr="00E42C03">
        <w:rPr>
          <w:bCs/>
        </w:rPr>
        <w:t xml:space="preserve">omparative </w:t>
      </w:r>
      <w:r w:rsidR="004B7665" w:rsidRPr="00E42C03">
        <w:rPr>
          <w:bCs/>
        </w:rPr>
        <w:t>A</w:t>
      </w:r>
      <w:r w:rsidRPr="00E42C03">
        <w:rPr>
          <w:bCs/>
        </w:rPr>
        <w:t xml:space="preserve">nalysis of </w:t>
      </w:r>
      <w:r w:rsidR="004B7665" w:rsidRPr="00E42C03">
        <w:rPr>
          <w:bCs/>
        </w:rPr>
        <w:t>H</w:t>
      </w:r>
      <w:r w:rsidRPr="00E42C03">
        <w:rPr>
          <w:bCs/>
        </w:rPr>
        <w:t xml:space="preserve">ospital </w:t>
      </w:r>
      <w:r w:rsidR="004B7665" w:rsidRPr="00E42C03">
        <w:rPr>
          <w:bCs/>
        </w:rPr>
        <w:t>F</w:t>
      </w:r>
      <w:r w:rsidRPr="00E42C03">
        <w:rPr>
          <w:bCs/>
        </w:rPr>
        <w:t xml:space="preserve">acilities </w:t>
      </w:r>
      <w:r w:rsidR="004B7665" w:rsidRPr="00E42C03">
        <w:rPr>
          <w:bCs/>
        </w:rPr>
        <w:t>S</w:t>
      </w:r>
      <w:r w:rsidRPr="00E42C03">
        <w:rPr>
          <w:bCs/>
        </w:rPr>
        <w:t xml:space="preserve">ervices </w:t>
      </w:r>
      <w:r w:rsidR="004B7665" w:rsidRPr="00E42C03">
        <w:rPr>
          <w:bCs/>
        </w:rPr>
        <w:t>O</w:t>
      </w:r>
      <w:r w:rsidRPr="00E42C03">
        <w:rPr>
          <w:bCs/>
        </w:rPr>
        <w:t xml:space="preserve">ver 12 </w:t>
      </w:r>
      <w:r w:rsidR="004B7665" w:rsidRPr="00E42C03">
        <w:rPr>
          <w:bCs/>
        </w:rPr>
        <w:t>M</w:t>
      </w:r>
      <w:r w:rsidRPr="00E42C03">
        <w:rPr>
          <w:bCs/>
        </w:rPr>
        <w:t>onths</w:t>
      </w:r>
    </w:p>
    <w:p w14:paraId="7B57F4FA" w14:textId="68B347BE" w:rsidR="00121678" w:rsidRDefault="00121678" w:rsidP="001F1200">
      <w:pPr>
        <w:rPr>
          <w:b/>
        </w:rPr>
      </w:pPr>
    </w:p>
    <w:p w14:paraId="40D441C1" w14:textId="068BF93F" w:rsidR="00121678" w:rsidRDefault="00121678" w:rsidP="001F1200">
      <w:pPr>
        <w:rPr>
          <w:b/>
        </w:rPr>
      </w:pPr>
      <w:r>
        <w:rPr>
          <w:b/>
        </w:rPr>
        <w:t xml:space="preserve">Table 3. </w:t>
      </w:r>
      <w:r w:rsidRPr="00E42C03">
        <w:rPr>
          <w:bCs/>
        </w:rPr>
        <w:t>Comparison of Model Results</w:t>
      </w:r>
    </w:p>
    <w:p w14:paraId="5174F830" w14:textId="2A14A764" w:rsidR="008870FA" w:rsidRPr="001F1200" w:rsidRDefault="008870FA">
      <w:pPr>
        <w:rPr>
          <w:b/>
        </w:rPr>
      </w:pPr>
      <w:r w:rsidRPr="001F1200">
        <w:rPr>
          <w:b/>
        </w:rPr>
        <w:br w:type="page"/>
      </w:r>
    </w:p>
    <w:p w14:paraId="45F2A887" w14:textId="45470AC5" w:rsidR="00307DF5" w:rsidRDefault="00307DF5" w:rsidP="002541D9">
      <w:pPr>
        <w:spacing w:line="480" w:lineRule="auto"/>
        <w:rPr>
          <w:b/>
        </w:rPr>
      </w:pPr>
      <w:r>
        <w:rPr>
          <w:b/>
        </w:rPr>
        <w:lastRenderedPageBreak/>
        <w:t xml:space="preserve">Figure 1. </w:t>
      </w:r>
    </w:p>
    <w:p w14:paraId="22FA92E4" w14:textId="482885DF" w:rsidR="00307DF5" w:rsidRDefault="00307DF5" w:rsidP="002541D9">
      <w:pPr>
        <w:spacing w:line="480" w:lineRule="auto"/>
        <w:rPr>
          <w:b/>
        </w:rPr>
      </w:pPr>
      <w:r>
        <w:rPr>
          <w:b/>
          <w:noProof/>
          <w:lang w:val="en-GB" w:eastAsia="en-GB"/>
        </w:rPr>
        <w:drawing>
          <wp:inline distT="0" distB="0" distL="0" distR="0" wp14:anchorId="437845BB" wp14:editId="43BDECB0">
            <wp:extent cx="6527957" cy="47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6547849" cy="4738797"/>
                    </a:xfrm>
                    <a:prstGeom prst="rect">
                      <a:avLst/>
                    </a:prstGeom>
                  </pic:spPr>
                </pic:pic>
              </a:graphicData>
            </a:graphic>
          </wp:inline>
        </w:drawing>
      </w:r>
    </w:p>
    <w:p w14:paraId="52D4DDC2" w14:textId="4B4C3C82" w:rsidR="004C4245" w:rsidRDefault="004C4245" w:rsidP="00D83C99">
      <w:pPr>
        <w:rPr>
          <w:bCs/>
        </w:rPr>
      </w:pPr>
    </w:p>
    <w:p w14:paraId="46BA29AF" w14:textId="6EDDEBF9" w:rsidR="004C4245" w:rsidRDefault="004C4245" w:rsidP="00D83C99">
      <w:pPr>
        <w:rPr>
          <w:bCs/>
        </w:rPr>
      </w:pPr>
    </w:p>
    <w:p w14:paraId="52B2A1A6" w14:textId="29F03041" w:rsidR="004C4245" w:rsidRDefault="004C4245" w:rsidP="00D83C99">
      <w:pPr>
        <w:rPr>
          <w:bCs/>
        </w:rPr>
      </w:pPr>
    </w:p>
    <w:p w14:paraId="7E77E402" w14:textId="58731BFC" w:rsidR="004C4245" w:rsidRDefault="004C4245" w:rsidP="00D83C99">
      <w:pPr>
        <w:rPr>
          <w:bCs/>
        </w:rPr>
      </w:pPr>
    </w:p>
    <w:p w14:paraId="530564BE" w14:textId="10F6B0D5" w:rsidR="004C4245" w:rsidRDefault="004C4245" w:rsidP="00D83C99">
      <w:pPr>
        <w:rPr>
          <w:bCs/>
        </w:rPr>
      </w:pPr>
    </w:p>
    <w:p w14:paraId="62EA8CC1" w14:textId="5B26BCDA" w:rsidR="004C4245" w:rsidRDefault="004C4245" w:rsidP="00D83C99">
      <w:pPr>
        <w:rPr>
          <w:bCs/>
        </w:rPr>
      </w:pPr>
    </w:p>
    <w:p w14:paraId="7827D0E2" w14:textId="2A855834" w:rsidR="004C4245" w:rsidRDefault="004C4245" w:rsidP="00D83C99">
      <w:pPr>
        <w:rPr>
          <w:bCs/>
        </w:rPr>
      </w:pPr>
    </w:p>
    <w:p w14:paraId="58957E28" w14:textId="7A15B85E" w:rsidR="004C4245" w:rsidRDefault="004C4245" w:rsidP="00D83C99">
      <w:pPr>
        <w:rPr>
          <w:bCs/>
        </w:rPr>
      </w:pPr>
    </w:p>
    <w:p w14:paraId="2E4EE74F" w14:textId="240C909A" w:rsidR="004C4245" w:rsidRDefault="004C4245" w:rsidP="00D83C99">
      <w:pPr>
        <w:rPr>
          <w:bCs/>
        </w:rPr>
      </w:pPr>
    </w:p>
    <w:p w14:paraId="111421B0" w14:textId="4C5D2A30" w:rsidR="004C4245" w:rsidRDefault="004C4245" w:rsidP="00D83C99">
      <w:pPr>
        <w:rPr>
          <w:bCs/>
        </w:rPr>
      </w:pPr>
    </w:p>
    <w:p w14:paraId="2D2857B1" w14:textId="7FB8FC7C" w:rsidR="004C4245" w:rsidRDefault="004C4245" w:rsidP="00D83C99">
      <w:pPr>
        <w:rPr>
          <w:bCs/>
        </w:rPr>
      </w:pPr>
    </w:p>
    <w:p w14:paraId="76BB236B" w14:textId="044AC22D" w:rsidR="004C4245" w:rsidRDefault="004C4245" w:rsidP="00D83C99">
      <w:pPr>
        <w:rPr>
          <w:bCs/>
        </w:rPr>
      </w:pPr>
    </w:p>
    <w:p w14:paraId="4307E707" w14:textId="2136D79A" w:rsidR="004C4245" w:rsidRDefault="004C4245" w:rsidP="00D83C99">
      <w:pPr>
        <w:rPr>
          <w:bCs/>
        </w:rPr>
      </w:pPr>
    </w:p>
    <w:p w14:paraId="4FFA038A" w14:textId="4566A1BF" w:rsidR="004C4245" w:rsidRDefault="004C4245" w:rsidP="00D83C99">
      <w:pPr>
        <w:rPr>
          <w:bCs/>
        </w:rPr>
      </w:pPr>
    </w:p>
    <w:p w14:paraId="372488EF" w14:textId="0FA60E2C" w:rsidR="004C4245" w:rsidRDefault="004C4245" w:rsidP="00D83C99">
      <w:pPr>
        <w:rPr>
          <w:bCs/>
        </w:rPr>
      </w:pPr>
    </w:p>
    <w:p w14:paraId="76405E13" w14:textId="77777777" w:rsidR="006573EE" w:rsidRDefault="006573EE">
      <w:pPr>
        <w:rPr>
          <w:bCs/>
        </w:rPr>
      </w:pPr>
    </w:p>
    <w:p w14:paraId="60F39C32" w14:textId="77777777" w:rsidR="006573EE" w:rsidRDefault="00AF7D13">
      <w:pPr>
        <w:rPr>
          <w:bCs/>
        </w:rPr>
      </w:pPr>
      <w:r>
        <w:rPr>
          <w:bCs/>
        </w:rPr>
        <w:br w:type="page"/>
      </w:r>
    </w:p>
    <w:p w14:paraId="384DD114" w14:textId="77777777" w:rsidR="006573EE" w:rsidRDefault="006573EE">
      <w:pPr>
        <w:rPr>
          <w:bCs/>
        </w:rPr>
      </w:pPr>
    </w:p>
    <w:p w14:paraId="4D6AA4D3" w14:textId="374E7601" w:rsidR="006573EE" w:rsidRDefault="006573EE">
      <w:pPr>
        <w:rPr>
          <w:bCs/>
        </w:rPr>
      </w:pPr>
      <w:r>
        <w:rPr>
          <w:bCs/>
        </w:rPr>
        <w:t>Figure 2. CONSORT Diagram</w:t>
      </w:r>
    </w:p>
    <w:p w14:paraId="5811CB65" w14:textId="63B1D2F5" w:rsidR="006573EE" w:rsidRDefault="006573EE">
      <w:pPr>
        <w:rPr>
          <w:bCs/>
        </w:rPr>
      </w:pPr>
    </w:p>
    <w:p w14:paraId="37F6F4C5" w14:textId="4D8F2905" w:rsidR="006573EE" w:rsidRDefault="00A94BA0">
      <w:pPr>
        <w:rPr>
          <w:bCs/>
        </w:rPr>
      </w:pPr>
      <w:r>
        <w:rPr>
          <w:bCs/>
          <w:noProof/>
          <w:lang w:val="en-GB" w:eastAsia="en-GB"/>
        </w:rPr>
        <w:drawing>
          <wp:inline distT="0" distB="0" distL="0" distR="0" wp14:anchorId="08257345" wp14:editId="19045610">
            <wp:extent cx="5943600" cy="316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164840"/>
                    </a:xfrm>
                    <a:prstGeom prst="rect">
                      <a:avLst/>
                    </a:prstGeom>
                  </pic:spPr>
                </pic:pic>
              </a:graphicData>
            </a:graphic>
          </wp:inline>
        </w:drawing>
      </w:r>
    </w:p>
    <w:p w14:paraId="67441E87" w14:textId="77777777" w:rsidR="006573EE" w:rsidRDefault="006573EE">
      <w:pPr>
        <w:rPr>
          <w:bCs/>
        </w:rPr>
      </w:pPr>
    </w:p>
    <w:p w14:paraId="707A5D30" w14:textId="1A8DCFD3" w:rsidR="006573EE" w:rsidRDefault="006573EE">
      <w:pPr>
        <w:rPr>
          <w:bCs/>
        </w:rPr>
      </w:pPr>
      <w:r>
        <w:rPr>
          <w:bCs/>
        </w:rPr>
        <w:br w:type="page"/>
      </w:r>
    </w:p>
    <w:p w14:paraId="6CDE8944" w14:textId="77777777" w:rsidR="006573EE" w:rsidRDefault="006573EE">
      <w:pPr>
        <w:rPr>
          <w:bCs/>
        </w:rPr>
      </w:pPr>
    </w:p>
    <w:p w14:paraId="3D018B45" w14:textId="77777777" w:rsidR="00AF7D13" w:rsidRDefault="00AF7D13">
      <w:pPr>
        <w:rPr>
          <w:bCs/>
        </w:rPr>
      </w:pPr>
    </w:p>
    <w:p w14:paraId="0C0AF3DD" w14:textId="77777777" w:rsidR="004C4245" w:rsidRDefault="004C4245" w:rsidP="00D83C99">
      <w:pPr>
        <w:rPr>
          <w:bCs/>
        </w:rPr>
      </w:pPr>
    </w:p>
    <w:p w14:paraId="44A4D1CD" w14:textId="0F62345D" w:rsidR="00F419ED" w:rsidRDefault="00F419ED" w:rsidP="00D83C99">
      <w:pPr>
        <w:rPr>
          <w:bCs/>
        </w:rPr>
      </w:pPr>
    </w:p>
    <w:p w14:paraId="457F8EFA" w14:textId="499CF9B1" w:rsidR="008870FA" w:rsidRDefault="008870FA" w:rsidP="00D83C99">
      <w:pPr>
        <w:rPr>
          <w:bCs/>
        </w:rPr>
      </w:pPr>
    </w:p>
    <w:p w14:paraId="2623D238" w14:textId="0C33ACB3" w:rsidR="008870FA" w:rsidRPr="00724927" w:rsidRDefault="00724927" w:rsidP="00D83C99">
      <w:pPr>
        <w:rPr>
          <w:b/>
        </w:rPr>
      </w:pPr>
      <w:r w:rsidRPr="00724927">
        <w:rPr>
          <w:b/>
        </w:rPr>
        <w:t>Table 1. Demographics and Clinical Characteristics</w:t>
      </w:r>
    </w:p>
    <w:tbl>
      <w:tblPr>
        <w:tblpPr w:leftFromText="180" w:rightFromText="180" w:vertAnchor="text" w:horzAnchor="margin" w:tblpY="199"/>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0"/>
        <w:gridCol w:w="1555"/>
        <w:gridCol w:w="1632"/>
        <w:gridCol w:w="1260"/>
        <w:gridCol w:w="7"/>
      </w:tblGrid>
      <w:tr w:rsidR="002F3D2C" w:rsidRPr="007D05CD" w14:paraId="0ECDC4A2" w14:textId="77777777" w:rsidTr="002F3D2C">
        <w:trPr>
          <w:gridAfter w:val="1"/>
          <w:wAfter w:w="7" w:type="dxa"/>
          <w:cantSplit/>
          <w:tblHeader/>
        </w:trPr>
        <w:tc>
          <w:tcPr>
            <w:tcW w:w="3930" w:type="dxa"/>
            <w:shd w:val="clear" w:color="auto" w:fill="FFFFFF"/>
            <w:tcMar>
              <w:left w:w="19" w:type="dxa"/>
              <w:right w:w="19" w:type="dxa"/>
            </w:tcMar>
          </w:tcPr>
          <w:p w14:paraId="12E905D6" w14:textId="63B229E3" w:rsidR="004F544A" w:rsidRPr="007D05CD" w:rsidRDefault="004F544A" w:rsidP="00865C1B">
            <w:pPr>
              <w:keepNext/>
              <w:adjustRightInd w:val="0"/>
              <w:spacing w:before="19" w:after="19"/>
              <w:jc w:val="center"/>
              <w:rPr>
                <w:rFonts w:ascii="Arial" w:hAnsi="Arial" w:cs="Arial"/>
                <w:b/>
                <w:bCs/>
                <w:color w:val="000000"/>
                <w:sz w:val="16"/>
                <w:szCs w:val="16"/>
              </w:rPr>
            </w:pPr>
            <w:r w:rsidRPr="007D05CD">
              <w:rPr>
                <w:rFonts w:ascii="Arial" w:hAnsi="Arial" w:cs="Arial"/>
                <w:b/>
                <w:bCs/>
                <w:color w:val="000000"/>
                <w:sz w:val="16"/>
                <w:szCs w:val="16"/>
              </w:rPr>
              <w:t>Demographic/</w:t>
            </w:r>
            <w:r>
              <w:rPr>
                <w:rFonts w:ascii="Arial" w:hAnsi="Arial" w:cs="Arial"/>
                <w:b/>
                <w:bCs/>
                <w:color w:val="000000"/>
                <w:sz w:val="16"/>
                <w:szCs w:val="16"/>
              </w:rPr>
              <w:t>C</w:t>
            </w:r>
            <w:r w:rsidRPr="007D05CD">
              <w:rPr>
                <w:rFonts w:ascii="Arial" w:hAnsi="Arial" w:cs="Arial"/>
                <w:b/>
                <w:bCs/>
                <w:color w:val="000000"/>
                <w:sz w:val="16"/>
                <w:szCs w:val="16"/>
              </w:rPr>
              <w:t>haracteristic</w:t>
            </w:r>
          </w:p>
        </w:tc>
        <w:tc>
          <w:tcPr>
            <w:tcW w:w="1555" w:type="dxa"/>
            <w:shd w:val="clear" w:color="auto" w:fill="FFFFFF"/>
            <w:tcMar>
              <w:left w:w="19" w:type="dxa"/>
              <w:right w:w="19" w:type="dxa"/>
            </w:tcMar>
            <w:vAlign w:val="bottom"/>
          </w:tcPr>
          <w:p w14:paraId="1091A18A" w14:textId="77777777" w:rsidR="004F544A" w:rsidRPr="007D05CD" w:rsidRDefault="004F544A" w:rsidP="00865C1B">
            <w:pPr>
              <w:keepNext/>
              <w:adjustRightInd w:val="0"/>
              <w:spacing w:before="19" w:after="19"/>
              <w:jc w:val="center"/>
              <w:rPr>
                <w:rFonts w:ascii="Arial" w:hAnsi="Arial" w:cs="Arial"/>
                <w:b/>
                <w:bCs/>
                <w:color w:val="000000"/>
                <w:sz w:val="16"/>
                <w:szCs w:val="16"/>
              </w:rPr>
            </w:pPr>
            <w:r w:rsidRPr="007D05CD">
              <w:rPr>
                <w:rFonts w:ascii="Arial" w:hAnsi="Arial" w:cs="Arial"/>
                <w:b/>
                <w:bCs/>
                <w:color w:val="000000"/>
                <w:sz w:val="16"/>
                <w:szCs w:val="16"/>
              </w:rPr>
              <w:t>Control cohort</w:t>
            </w:r>
            <w:r w:rsidRPr="007D05CD">
              <w:rPr>
                <w:rFonts w:ascii="Arial" w:hAnsi="Arial" w:cs="Arial"/>
                <w:b/>
                <w:bCs/>
                <w:color w:val="000000"/>
                <w:sz w:val="16"/>
                <w:szCs w:val="16"/>
              </w:rPr>
              <w:br/>
              <w:t xml:space="preserve">(N = </w:t>
            </w:r>
            <w:r>
              <w:rPr>
                <w:rFonts w:ascii="Arial" w:hAnsi="Arial" w:cs="Arial"/>
                <w:b/>
                <w:bCs/>
                <w:color w:val="000000"/>
                <w:sz w:val="16"/>
                <w:szCs w:val="16"/>
              </w:rPr>
              <w:t>978</w:t>
            </w:r>
            <w:r w:rsidRPr="007D05CD">
              <w:rPr>
                <w:rFonts w:ascii="Arial" w:hAnsi="Arial" w:cs="Arial"/>
                <w:b/>
                <w:bCs/>
                <w:color w:val="000000"/>
                <w:sz w:val="16"/>
                <w:szCs w:val="16"/>
              </w:rPr>
              <w:t>)</w:t>
            </w:r>
          </w:p>
        </w:tc>
        <w:tc>
          <w:tcPr>
            <w:tcW w:w="1632" w:type="dxa"/>
            <w:shd w:val="clear" w:color="auto" w:fill="FFFFFF"/>
          </w:tcPr>
          <w:p w14:paraId="6DA8222F" w14:textId="535DF3D2" w:rsidR="004F544A" w:rsidRDefault="004F544A" w:rsidP="00865C1B">
            <w:pPr>
              <w:keepNext/>
              <w:adjustRightInd w:val="0"/>
              <w:spacing w:before="19" w:after="19"/>
              <w:jc w:val="center"/>
              <w:rPr>
                <w:rFonts w:ascii="Arial" w:hAnsi="Arial" w:cs="Arial"/>
                <w:b/>
                <w:bCs/>
                <w:color w:val="000000"/>
                <w:sz w:val="16"/>
                <w:szCs w:val="16"/>
              </w:rPr>
            </w:pPr>
            <w:r w:rsidRPr="007D05CD">
              <w:rPr>
                <w:rFonts w:ascii="Arial" w:hAnsi="Arial" w:cs="Arial"/>
                <w:b/>
                <w:bCs/>
                <w:color w:val="000000"/>
                <w:sz w:val="16"/>
                <w:szCs w:val="16"/>
              </w:rPr>
              <w:t>reSET-O cohort</w:t>
            </w:r>
            <w:r w:rsidRPr="007D05CD">
              <w:rPr>
                <w:rFonts w:ascii="Arial" w:hAnsi="Arial" w:cs="Arial"/>
                <w:b/>
                <w:bCs/>
                <w:color w:val="000000"/>
                <w:sz w:val="16"/>
                <w:szCs w:val="16"/>
              </w:rPr>
              <w:br/>
              <w:t xml:space="preserve">(N = </w:t>
            </w:r>
            <w:r>
              <w:rPr>
                <w:rFonts w:ascii="Arial" w:hAnsi="Arial" w:cs="Arial"/>
                <w:b/>
                <w:bCs/>
                <w:color w:val="000000"/>
                <w:sz w:val="16"/>
                <w:szCs w:val="16"/>
              </w:rPr>
              <w:t>901</w:t>
            </w:r>
            <w:r w:rsidRPr="007D05CD">
              <w:rPr>
                <w:rFonts w:ascii="Arial" w:hAnsi="Arial" w:cs="Arial"/>
                <w:b/>
                <w:bCs/>
                <w:color w:val="000000"/>
                <w:sz w:val="16"/>
                <w:szCs w:val="16"/>
              </w:rPr>
              <w:t>)</w:t>
            </w:r>
          </w:p>
        </w:tc>
        <w:tc>
          <w:tcPr>
            <w:tcW w:w="1260" w:type="dxa"/>
            <w:shd w:val="clear" w:color="auto" w:fill="FFFFFF"/>
          </w:tcPr>
          <w:p w14:paraId="3DEED77E" w14:textId="48688AF8" w:rsidR="004F544A" w:rsidRPr="007D05CD" w:rsidRDefault="004F544A" w:rsidP="00865C1B">
            <w:pPr>
              <w:keepNext/>
              <w:adjustRightInd w:val="0"/>
              <w:spacing w:before="19" w:after="19"/>
              <w:jc w:val="center"/>
              <w:rPr>
                <w:rFonts w:ascii="Arial" w:hAnsi="Arial" w:cs="Arial"/>
                <w:b/>
                <w:bCs/>
                <w:color w:val="000000"/>
                <w:sz w:val="16"/>
                <w:szCs w:val="16"/>
              </w:rPr>
            </w:pPr>
            <w:r>
              <w:rPr>
                <w:rFonts w:ascii="Arial" w:hAnsi="Arial" w:cs="Arial"/>
                <w:b/>
                <w:bCs/>
                <w:color w:val="000000"/>
                <w:sz w:val="16"/>
                <w:szCs w:val="16"/>
              </w:rPr>
              <w:br/>
            </w:r>
            <w:r w:rsidRPr="008C7F30">
              <w:rPr>
                <w:rFonts w:ascii="Arial" w:hAnsi="Arial" w:cs="Arial"/>
                <w:b/>
                <w:bCs/>
                <w:i/>
                <w:color w:val="000000"/>
                <w:sz w:val="16"/>
                <w:szCs w:val="16"/>
              </w:rPr>
              <w:t>P</w:t>
            </w:r>
            <w:r>
              <w:rPr>
                <w:rFonts w:ascii="Arial" w:hAnsi="Arial" w:cs="Arial"/>
                <w:b/>
                <w:bCs/>
                <w:color w:val="000000"/>
                <w:sz w:val="16"/>
                <w:szCs w:val="16"/>
              </w:rPr>
              <w:t>-value</w:t>
            </w:r>
          </w:p>
        </w:tc>
      </w:tr>
      <w:tr w:rsidR="002F3D2C" w:rsidRPr="007D05CD" w14:paraId="3310C5AF" w14:textId="77777777" w:rsidTr="002F3D2C">
        <w:trPr>
          <w:gridAfter w:val="1"/>
          <w:wAfter w:w="7" w:type="dxa"/>
          <w:cantSplit/>
        </w:trPr>
        <w:tc>
          <w:tcPr>
            <w:tcW w:w="3930" w:type="dxa"/>
            <w:shd w:val="clear" w:color="auto" w:fill="FFFFFF"/>
            <w:tcMar>
              <w:left w:w="19" w:type="dxa"/>
              <w:right w:w="19" w:type="dxa"/>
            </w:tcMar>
          </w:tcPr>
          <w:p w14:paraId="175E36CF" w14:textId="7E290B8B" w:rsidR="004F544A" w:rsidRPr="00710A3F" w:rsidRDefault="004F544A" w:rsidP="004F544A">
            <w:pPr>
              <w:adjustRightInd w:val="0"/>
              <w:spacing w:before="19" w:after="19"/>
              <w:rPr>
                <w:rFonts w:ascii="Arial" w:hAnsi="Arial" w:cs="Arial"/>
                <w:color w:val="000000"/>
                <w:sz w:val="16"/>
                <w:szCs w:val="16"/>
              </w:rPr>
            </w:pPr>
            <w:r w:rsidRPr="00367F36">
              <w:rPr>
                <w:rFonts w:ascii="Arial" w:hAnsi="Arial" w:cs="Arial"/>
                <w:b/>
                <w:bCs/>
                <w:color w:val="000000"/>
                <w:sz w:val="16"/>
                <w:szCs w:val="16"/>
              </w:rPr>
              <w:t>Age</w:t>
            </w:r>
            <w:r>
              <w:rPr>
                <w:rFonts w:ascii="Arial" w:hAnsi="Arial" w:cs="Arial"/>
                <w:b/>
                <w:bCs/>
                <w:color w:val="000000"/>
                <w:sz w:val="16"/>
                <w:szCs w:val="16"/>
              </w:rPr>
              <w:t xml:space="preserve"> (years), mean (SD)</w:t>
            </w:r>
          </w:p>
        </w:tc>
        <w:tc>
          <w:tcPr>
            <w:tcW w:w="1555" w:type="dxa"/>
            <w:shd w:val="clear" w:color="auto" w:fill="FFFFFF"/>
            <w:tcMar>
              <w:left w:w="19" w:type="dxa"/>
              <w:right w:w="19" w:type="dxa"/>
            </w:tcMar>
          </w:tcPr>
          <w:p w14:paraId="14696883" w14:textId="77777777" w:rsidR="004F544A" w:rsidRPr="001E1003" w:rsidRDefault="004F544A" w:rsidP="00865C1B">
            <w:pPr>
              <w:adjustRightInd w:val="0"/>
              <w:spacing w:before="19" w:after="19"/>
              <w:jc w:val="center"/>
              <w:rPr>
                <w:rFonts w:ascii="Arial" w:hAnsi="Arial" w:cs="Arial"/>
                <w:color w:val="000000"/>
                <w:sz w:val="16"/>
                <w:szCs w:val="16"/>
              </w:rPr>
            </w:pPr>
            <w:r w:rsidRPr="001E1003">
              <w:rPr>
                <w:rFonts w:ascii="Arial" w:hAnsi="Arial" w:cs="Arial"/>
                <w:color w:val="000000"/>
                <w:sz w:val="16"/>
                <w:szCs w:val="16"/>
              </w:rPr>
              <w:t>39.2 (10.18)</w:t>
            </w:r>
          </w:p>
        </w:tc>
        <w:tc>
          <w:tcPr>
            <w:tcW w:w="1632" w:type="dxa"/>
            <w:shd w:val="clear" w:color="auto" w:fill="FFFFFF"/>
          </w:tcPr>
          <w:p w14:paraId="1FD45F5F" w14:textId="239567DA" w:rsidR="004F544A" w:rsidRDefault="004F544A" w:rsidP="00865C1B">
            <w:pPr>
              <w:adjustRightInd w:val="0"/>
              <w:spacing w:before="19" w:after="19"/>
              <w:jc w:val="center"/>
              <w:rPr>
                <w:rFonts w:ascii="Arial" w:hAnsi="Arial" w:cs="Arial"/>
                <w:color w:val="000000"/>
                <w:sz w:val="16"/>
                <w:szCs w:val="16"/>
              </w:rPr>
            </w:pPr>
            <w:r w:rsidRPr="00710A3F">
              <w:rPr>
                <w:rFonts w:ascii="Arial" w:hAnsi="Arial" w:cs="Arial"/>
                <w:color w:val="000000"/>
                <w:sz w:val="16"/>
                <w:szCs w:val="16"/>
              </w:rPr>
              <w:t>37.9 (8.84)</w:t>
            </w:r>
          </w:p>
        </w:tc>
        <w:tc>
          <w:tcPr>
            <w:tcW w:w="1260" w:type="dxa"/>
            <w:shd w:val="clear" w:color="auto" w:fill="FFFFFF"/>
          </w:tcPr>
          <w:p w14:paraId="2ADB1DBE" w14:textId="2B2E0722" w:rsidR="004F544A" w:rsidRPr="007D05CD" w:rsidRDefault="004F544A" w:rsidP="00865C1B">
            <w:pPr>
              <w:adjustRightInd w:val="0"/>
              <w:spacing w:before="19" w:after="19"/>
              <w:jc w:val="center"/>
              <w:rPr>
                <w:rFonts w:ascii="Arial" w:hAnsi="Arial" w:cs="Arial"/>
                <w:color w:val="000000"/>
                <w:sz w:val="16"/>
                <w:szCs w:val="16"/>
              </w:rPr>
            </w:pPr>
            <w:r>
              <w:rPr>
                <w:rFonts w:ascii="Arial" w:hAnsi="Arial" w:cs="Arial"/>
                <w:color w:val="000000"/>
                <w:sz w:val="16"/>
                <w:szCs w:val="16"/>
              </w:rPr>
              <w:t>0.004</w:t>
            </w:r>
          </w:p>
        </w:tc>
      </w:tr>
      <w:tr w:rsidR="002F3D2C" w:rsidRPr="007D05CD" w14:paraId="20F82B62" w14:textId="77777777" w:rsidTr="002F3D2C">
        <w:trPr>
          <w:gridAfter w:val="1"/>
          <w:wAfter w:w="7" w:type="dxa"/>
          <w:cantSplit/>
        </w:trPr>
        <w:tc>
          <w:tcPr>
            <w:tcW w:w="5485" w:type="dxa"/>
            <w:gridSpan w:val="2"/>
            <w:shd w:val="clear" w:color="auto" w:fill="FFFFFF"/>
            <w:tcMar>
              <w:left w:w="19" w:type="dxa"/>
              <w:right w:w="19" w:type="dxa"/>
            </w:tcMar>
          </w:tcPr>
          <w:p w14:paraId="36FF7ADE" w14:textId="77777777" w:rsidR="00FB7759" w:rsidRPr="00367F36" w:rsidRDefault="00FB7759" w:rsidP="004F544A">
            <w:pPr>
              <w:adjustRightInd w:val="0"/>
              <w:spacing w:before="19" w:after="19"/>
              <w:rPr>
                <w:rFonts w:ascii="Arial" w:hAnsi="Arial" w:cs="Arial"/>
                <w:b/>
                <w:bCs/>
                <w:color w:val="000000"/>
                <w:sz w:val="16"/>
                <w:szCs w:val="16"/>
              </w:rPr>
            </w:pPr>
            <w:r w:rsidRPr="00367F36">
              <w:rPr>
                <w:rFonts w:ascii="Arial" w:hAnsi="Arial" w:cs="Arial"/>
                <w:b/>
                <w:bCs/>
                <w:color w:val="000000"/>
                <w:sz w:val="16"/>
                <w:szCs w:val="16"/>
              </w:rPr>
              <w:t>Sex, n (%)</w:t>
            </w:r>
          </w:p>
        </w:tc>
        <w:tc>
          <w:tcPr>
            <w:tcW w:w="1632" w:type="dxa"/>
            <w:shd w:val="clear" w:color="auto" w:fill="FFFFFF"/>
          </w:tcPr>
          <w:p w14:paraId="12D2C281" w14:textId="77777777" w:rsidR="00FB7759" w:rsidRPr="00710A3F" w:rsidRDefault="00FB7759" w:rsidP="00865C1B">
            <w:pPr>
              <w:adjustRightInd w:val="0"/>
              <w:spacing w:before="19" w:after="19"/>
              <w:jc w:val="center"/>
              <w:rPr>
                <w:rFonts w:ascii="Arial" w:hAnsi="Arial" w:cs="Arial"/>
                <w:bCs/>
                <w:color w:val="000000"/>
                <w:sz w:val="16"/>
                <w:szCs w:val="16"/>
              </w:rPr>
            </w:pPr>
          </w:p>
        </w:tc>
        <w:tc>
          <w:tcPr>
            <w:tcW w:w="1260" w:type="dxa"/>
            <w:shd w:val="clear" w:color="auto" w:fill="FFFFFF"/>
          </w:tcPr>
          <w:p w14:paraId="021955AB" w14:textId="53C6F5DB" w:rsidR="00FB7759" w:rsidRPr="00710A3F" w:rsidRDefault="00FB7759" w:rsidP="00865C1B">
            <w:pPr>
              <w:adjustRightInd w:val="0"/>
              <w:spacing w:before="19" w:after="19"/>
              <w:jc w:val="center"/>
              <w:rPr>
                <w:rFonts w:ascii="Arial" w:hAnsi="Arial" w:cs="Arial"/>
                <w:bCs/>
                <w:color w:val="000000"/>
                <w:sz w:val="16"/>
                <w:szCs w:val="16"/>
              </w:rPr>
            </w:pPr>
            <w:r w:rsidRPr="00710A3F">
              <w:rPr>
                <w:rFonts w:ascii="Arial" w:hAnsi="Arial" w:cs="Arial"/>
                <w:bCs/>
                <w:color w:val="000000"/>
                <w:sz w:val="16"/>
                <w:szCs w:val="16"/>
              </w:rPr>
              <w:t>0.001</w:t>
            </w:r>
          </w:p>
        </w:tc>
      </w:tr>
      <w:tr w:rsidR="002F3D2C" w:rsidRPr="007D05CD" w14:paraId="5C6B754C" w14:textId="77777777" w:rsidTr="002F3D2C">
        <w:trPr>
          <w:gridAfter w:val="1"/>
          <w:wAfter w:w="7" w:type="dxa"/>
          <w:cantSplit/>
        </w:trPr>
        <w:tc>
          <w:tcPr>
            <w:tcW w:w="3930" w:type="dxa"/>
            <w:shd w:val="clear" w:color="auto" w:fill="FFFFFF"/>
            <w:tcMar>
              <w:left w:w="19" w:type="dxa"/>
              <w:right w:w="19" w:type="dxa"/>
            </w:tcMar>
          </w:tcPr>
          <w:p w14:paraId="36DD0474" w14:textId="33AA5F49" w:rsidR="004F544A" w:rsidRPr="007D05CD" w:rsidRDefault="004F544A" w:rsidP="004F544A">
            <w:pPr>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Female</w:t>
            </w:r>
          </w:p>
        </w:tc>
        <w:tc>
          <w:tcPr>
            <w:tcW w:w="1555" w:type="dxa"/>
            <w:shd w:val="clear" w:color="auto" w:fill="FFFFFF"/>
            <w:tcMar>
              <w:left w:w="19" w:type="dxa"/>
              <w:right w:w="19" w:type="dxa"/>
            </w:tcMar>
          </w:tcPr>
          <w:p w14:paraId="5800BA05" w14:textId="77777777" w:rsidR="004F544A" w:rsidRPr="007D05CD"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539</w:t>
            </w:r>
            <w:r w:rsidRPr="007D05CD">
              <w:rPr>
                <w:rFonts w:ascii="Arial" w:hAnsi="Arial" w:cs="Arial"/>
                <w:color w:val="000000"/>
                <w:sz w:val="16"/>
                <w:szCs w:val="16"/>
              </w:rPr>
              <w:t xml:space="preserve"> (5</w:t>
            </w:r>
            <w:r>
              <w:rPr>
                <w:rFonts w:ascii="Arial" w:hAnsi="Arial" w:cs="Arial"/>
                <w:color w:val="000000"/>
                <w:sz w:val="16"/>
                <w:szCs w:val="16"/>
              </w:rPr>
              <w:t>1</w:t>
            </w:r>
            <w:r w:rsidRPr="007D05CD">
              <w:rPr>
                <w:rFonts w:ascii="Arial" w:hAnsi="Arial" w:cs="Arial"/>
                <w:color w:val="000000"/>
                <w:sz w:val="16"/>
                <w:szCs w:val="16"/>
              </w:rPr>
              <w:t>.</w:t>
            </w:r>
            <w:r>
              <w:rPr>
                <w:rFonts w:ascii="Arial" w:hAnsi="Arial" w:cs="Arial"/>
                <w:color w:val="000000"/>
                <w:sz w:val="16"/>
                <w:szCs w:val="16"/>
              </w:rPr>
              <w:t>1</w:t>
            </w:r>
            <w:r w:rsidRPr="007D05CD">
              <w:rPr>
                <w:rFonts w:ascii="Arial" w:hAnsi="Arial" w:cs="Arial"/>
                <w:color w:val="000000"/>
                <w:sz w:val="16"/>
                <w:szCs w:val="16"/>
              </w:rPr>
              <w:t>%)</w:t>
            </w:r>
          </w:p>
        </w:tc>
        <w:tc>
          <w:tcPr>
            <w:tcW w:w="1632" w:type="dxa"/>
            <w:shd w:val="clear" w:color="auto" w:fill="FFFFFF"/>
          </w:tcPr>
          <w:p w14:paraId="57C33CB4" w14:textId="564D018A" w:rsidR="004F544A" w:rsidRPr="00710A3F"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56</w:t>
            </w:r>
            <w:r w:rsidRPr="007D05CD">
              <w:rPr>
                <w:rFonts w:ascii="Arial" w:hAnsi="Arial" w:cs="Arial"/>
                <w:color w:val="000000"/>
                <w:sz w:val="16"/>
                <w:szCs w:val="16"/>
              </w:rPr>
              <w:t>2 (6</w:t>
            </w:r>
            <w:r>
              <w:rPr>
                <w:rFonts w:ascii="Arial" w:hAnsi="Arial" w:cs="Arial"/>
                <w:color w:val="000000"/>
                <w:sz w:val="16"/>
                <w:szCs w:val="16"/>
              </w:rPr>
              <w:t>2</w:t>
            </w:r>
            <w:r w:rsidRPr="007D05CD">
              <w:rPr>
                <w:rFonts w:ascii="Arial" w:hAnsi="Arial" w:cs="Arial"/>
                <w:color w:val="000000"/>
                <w:sz w:val="16"/>
                <w:szCs w:val="16"/>
              </w:rPr>
              <w:t>.4%)</w:t>
            </w:r>
          </w:p>
        </w:tc>
        <w:tc>
          <w:tcPr>
            <w:tcW w:w="1260" w:type="dxa"/>
            <w:shd w:val="clear" w:color="auto" w:fill="FFFFFF"/>
          </w:tcPr>
          <w:p w14:paraId="2EED3087" w14:textId="3A7C9093" w:rsidR="004F544A" w:rsidRPr="00710A3F" w:rsidRDefault="004F544A" w:rsidP="004F544A">
            <w:pPr>
              <w:adjustRightInd w:val="0"/>
              <w:spacing w:before="19" w:after="19"/>
              <w:jc w:val="center"/>
              <w:rPr>
                <w:rFonts w:ascii="Arial" w:hAnsi="Arial" w:cs="Arial"/>
                <w:color w:val="000000"/>
                <w:sz w:val="16"/>
                <w:szCs w:val="16"/>
              </w:rPr>
            </w:pPr>
          </w:p>
        </w:tc>
      </w:tr>
      <w:tr w:rsidR="002F3D2C" w:rsidRPr="007D05CD" w14:paraId="430195B1" w14:textId="77777777" w:rsidTr="002F3D2C">
        <w:trPr>
          <w:gridAfter w:val="1"/>
          <w:wAfter w:w="7" w:type="dxa"/>
          <w:cantSplit/>
        </w:trPr>
        <w:tc>
          <w:tcPr>
            <w:tcW w:w="3930" w:type="dxa"/>
            <w:shd w:val="clear" w:color="auto" w:fill="FFFFFF"/>
            <w:tcMar>
              <w:left w:w="19" w:type="dxa"/>
              <w:right w:w="19" w:type="dxa"/>
            </w:tcMar>
          </w:tcPr>
          <w:p w14:paraId="3CC2B310" w14:textId="0DA5F34F" w:rsidR="004F544A" w:rsidRPr="007D05CD" w:rsidRDefault="004F544A" w:rsidP="004F544A">
            <w:pPr>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Male</w:t>
            </w:r>
          </w:p>
        </w:tc>
        <w:tc>
          <w:tcPr>
            <w:tcW w:w="1555" w:type="dxa"/>
            <w:shd w:val="clear" w:color="auto" w:fill="FFFFFF"/>
            <w:tcMar>
              <w:left w:w="19" w:type="dxa"/>
              <w:right w:w="19" w:type="dxa"/>
            </w:tcMar>
          </w:tcPr>
          <w:p w14:paraId="145C39D7" w14:textId="77777777" w:rsidR="004F544A" w:rsidRPr="007D05CD"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439</w:t>
            </w:r>
            <w:r w:rsidRPr="007D05CD">
              <w:rPr>
                <w:rFonts w:ascii="Arial" w:hAnsi="Arial" w:cs="Arial"/>
                <w:color w:val="000000"/>
                <w:sz w:val="16"/>
                <w:szCs w:val="16"/>
              </w:rPr>
              <w:t xml:space="preserve"> (4</w:t>
            </w:r>
            <w:r>
              <w:rPr>
                <w:rFonts w:ascii="Arial" w:hAnsi="Arial" w:cs="Arial"/>
                <w:color w:val="000000"/>
                <w:sz w:val="16"/>
                <w:szCs w:val="16"/>
              </w:rPr>
              <w:t>4</w:t>
            </w:r>
            <w:r w:rsidRPr="007D05CD">
              <w:rPr>
                <w:rFonts w:ascii="Arial" w:hAnsi="Arial" w:cs="Arial"/>
                <w:color w:val="000000"/>
                <w:sz w:val="16"/>
                <w:szCs w:val="16"/>
              </w:rPr>
              <w:t>.</w:t>
            </w:r>
            <w:r>
              <w:rPr>
                <w:rFonts w:ascii="Arial" w:hAnsi="Arial" w:cs="Arial"/>
                <w:color w:val="000000"/>
                <w:sz w:val="16"/>
                <w:szCs w:val="16"/>
              </w:rPr>
              <w:t>9</w:t>
            </w:r>
            <w:r w:rsidRPr="007D05CD">
              <w:rPr>
                <w:rFonts w:ascii="Arial" w:hAnsi="Arial" w:cs="Arial"/>
                <w:color w:val="000000"/>
                <w:sz w:val="16"/>
                <w:szCs w:val="16"/>
              </w:rPr>
              <w:t>%)</w:t>
            </w:r>
          </w:p>
        </w:tc>
        <w:tc>
          <w:tcPr>
            <w:tcW w:w="1632" w:type="dxa"/>
            <w:shd w:val="clear" w:color="auto" w:fill="FFFFFF"/>
          </w:tcPr>
          <w:p w14:paraId="34C845D3" w14:textId="6340FEBF" w:rsidR="004F544A" w:rsidRPr="00710A3F"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339</w:t>
            </w:r>
            <w:r w:rsidRPr="007D05CD">
              <w:rPr>
                <w:rFonts w:ascii="Arial" w:hAnsi="Arial" w:cs="Arial"/>
                <w:color w:val="000000"/>
                <w:sz w:val="16"/>
                <w:szCs w:val="16"/>
              </w:rPr>
              <w:t xml:space="preserve"> (3</w:t>
            </w:r>
            <w:r>
              <w:rPr>
                <w:rFonts w:ascii="Arial" w:hAnsi="Arial" w:cs="Arial"/>
                <w:color w:val="000000"/>
                <w:sz w:val="16"/>
                <w:szCs w:val="16"/>
              </w:rPr>
              <w:t>7</w:t>
            </w:r>
            <w:r w:rsidRPr="007D05CD">
              <w:rPr>
                <w:rFonts w:ascii="Arial" w:hAnsi="Arial" w:cs="Arial"/>
                <w:color w:val="000000"/>
                <w:sz w:val="16"/>
                <w:szCs w:val="16"/>
              </w:rPr>
              <w:t>.6%)</w:t>
            </w:r>
          </w:p>
        </w:tc>
        <w:tc>
          <w:tcPr>
            <w:tcW w:w="1260" w:type="dxa"/>
            <w:shd w:val="clear" w:color="auto" w:fill="FFFFFF"/>
          </w:tcPr>
          <w:p w14:paraId="3123BC75" w14:textId="77FCB568" w:rsidR="004F544A" w:rsidRPr="00710A3F" w:rsidRDefault="004F544A" w:rsidP="004F544A">
            <w:pPr>
              <w:adjustRightInd w:val="0"/>
              <w:spacing w:before="19" w:after="19"/>
              <w:jc w:val="center"/>
              <w:rPr>
                <w:rFonts w:ascii="Arial" w:hAnsi="Arial" w:cs="Arial"/>
                <w:color w:val="000000"/>
                <w:sz w:val="16"/>
                <w:szCs w:val="16"/>
              </w:rPr>
            </w:pPr>
          </w:p>
        </w:tc>
      </w:tr>
      <w:tr w:rsidR="002F3D2C" w:rsidRPr="007D05CD" w14:paraId="0ADF509D" w14:textId="77777777" w:rsidTr="002F3D2C">
        <w:trPr>
          <w:gridAfter w:val="1"/>
          <w:wAfter w:w="7" w:type="dxa"/>
          <w:cantSplit/>
        </w:trPr>
        <w:tc>
          <w:tcPr>
            <w:tcW w:w="5485" w:type="dxa"/>
            <w:gridSpan w:val="2"/>
            <w:shd w:val="clear" w:color="auto" w:fill="FFFFFF"/>
            <w:tcMar>
              <w:left w:w="19" w:type="dxa"/>
              <w:right w:w="19" w:type="dxa"/>
            </w:tcMar>
          </w:tcPr>
          <w:p w14:paraId="2ED88231" w14:textId="77777777" w:rsidR="004F544A" w:rsidRPr="00367F36" w:rsidRDefault="004F544A" w:rsidP="004F544A">
            <w:pPr>
              <w:adjustRightInd w:val="0"/>
              <w:spacing w:before="19" w:after="19"/>
              <w:rPr>
                <w:rFonts w:ascii="Arial" w:hAnsi="Arial" w:cs="Arial"/>
                <w:b/>
                <w:bCs/>
                <w:color w:val="000000"/>
                <w:sz w:val="16"/>
                <w:szCs w:val="16"/>
              </w:rPr>
            </w:pPr>
            <w:r w:rsidRPr="00367F36">
              <w:rPr>
                <w:rFonts w:ascii="Arial" w:hAnsi="Arial" w:cs="Arial"/>
                <w:b/>
                <w:bCs/>
                <w:color w:val="000000"/>
                <w:sz w:val="16"/>
                <w:szCs w:val="16"/>
              </w:rPr>
              <w:t>Payer, n (%)</w:t>
            </w:r>
          </w:p>
        </w:tc>
        <w:tc>
          <w:tcPr>
            <w:tcW w:w="1632" w:type="dxa"/>
            <w:shd w:val="clear" w:color="auto" w:fill="FFFFFF"/>
          </w:tcPr>
          <w:p w14:paraId="5C65EB83" w14:textId="77777777" w:rsidR="004F544A" w:rsidRPr="00710A3F" w:rsidRDefault="004F544A" w:rsidP="004F544A">
            <w:pPr>
              <w:adjustRightInd w:val="0"/>
              <w:spacing w:before="19" w:after="19"/>
              <w:jc w:val="center"/>
              <w:rPr>
                <w:rFonts w:ascii="Arial" w:hAnsi="Arial" w:cs="Arial"/>
                <w:bCs/>
                <w:color w:val="000000"/>
                <w:sz w:val="16"/>
                <w:szCs w:val="16"/>
              </w:rPr>
            </w:pPr>
          </w:p>
        </w:tc>
        <w:tc>
          <w:tcPr>
            <w:tcW w:w="1260" w:type="dxa"/>
            <w:shd w:val="clear" w:color="auto" w:fill="FFFFFF"/>
          </w:tcPr>
          <w:p w14:paraId="430751F1" w14:textId="022B90FD" w:rsidR="004F544A" w:rsidRPr="00710A3F" w:rsidRDefault="004F544A" w:rsidP="004F544A">
            <w:pPr>
              <w:adjustRightInd w:val="0"/>
              <w:spacing w:before="19" w:after="19"/>
              <w:jc w:val="center"/>
              <w:rPr>
                <w:rFonts w:ascii="Arial" w:hAnsi="Arial" w:cs="Arial"/>
                <w:bCs/>
                <w:color w:val="000000"/>
                <w:sz w:val="16"/>
                <w:szCs w:val="16"/>
              </w:rPr>
            </w:pPr>
            <w:r w:rsidRPr="00710A3F">
              <w:rPr>
                <w:rFonts w:ascii="Arial" w:hAnsi="Arial" w:cs="Arial"/>
                <w:bCs/>
                <w:color w:val="000000"/>
                <w:sz w:val="16"/>
                <w:szCs w:val="16"/>
              </w:rPr>
              <w:t>0.001</w:t>
            </w:r>
          </w:p>
        </w:tc>
      </w:tr>
      <w:tr w:rsidR="002F3D2C" w:rsidRPr="007D05CD" w14:paraId="72685648" w14:textId="77777777" w:rsidTr="002F3D2C">
        <w:trPr>
          <w:gridAfter w:val="1"/>
          <w:wAfter w:w="7" w:type="dxa"/>
          <w:cantSplit/>
        </w:trPr>
        <w:tc>
          <w:tcPr>
            <w:tcW w:w="3930" w:type="dxa"/>
            <w:shd w:val="clear" w:color="auto" w:fill="FFFFFF"/>
            <w:tcMar>
              <w:left w:w="19" w:type="dxa"/>
              <w:right w:w="19" w:type="dxa"/>
            </w:tcMar>
          </w:tcPr>
          <w:p w14:paraId="6E570040" w14:textId="502B883E" w:rsidR="004F544A" w:rsidRPr="007D05CD" w:rsidRDefault="004F544A" w:rsidP="004F544A">
            <w:pPr>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w:t>
            </w:r>
            <w:r>
              <w:rPr>
                <w:rFonts w:ascii="Arial" w:hAnsi="Arial" w:cs="Arial"/>
                <w:color w:val="000000"/>
                <w:sz w:val="16"/>
                <w:szCs w:val="16"/>
              </w:rPr>
              <w:t>Commercial</w:t>
            </w:r>
          </w:p>
        </w:tc>
        <w:tc>
          <w:tcPr>
            <w:tcW w:w="1555" w:type="dxa"/>
            <w:shd w:val="clear" w:color="auto" w:fill="FFFFFF"/>
            <w:tcMar>
              <w:left w:w="19" w:type="dxa"/>
              <w:right w:w="19" w:type="dxa"/>
            </w:tcMar>
          </w:tcPr>
          <w:p w14:paraId="1AB19C07" w14:textId="77777777" w:rsidR="004F544A" w:rsidRPr="007D05CD"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137</w:t>
            </w:r>
            <w:r w:rsidRPr="007D05CD">
              <w:rPr>
                <w:rFonts w:ascii="Arial" w:hAnsi="Arial" w:cs="Arial"/>
                <w:color w:val="000000"/>
                <w:sz w:val="16"/>
                <w:szCs w:val="16"/>
              </w:rPr>
              <w:t xml:space="preserve"> (</w:t>
            </w:r>
            <w:r>
              <w:rPr>
                <w:rFonts w:ascii="Arial" w:hAnsi="Arial" w:cs="Arial"/>
                <w:color w:val="000000"/>
                <w:sz w:val="16"/>
                <w:szCs w:val="16"/>
              </w:rPr>
              <w:t>14</w:t>
            </w:r>
            <w:r w:rsidRPr="007D05CD">
              <w:rPr>
                <w:rFonts w:ascii="Arial" w:hAnsi="Arial" w:cs="Arial"/>
                <w:color w:val="000000"/>
                <w:sz w:val="16"/>
                <w:szCs w:val="16"/>
              </w:rPr>
              <w:t>.</w:t>
            </w:r>
            <w:r>
              <w:rPr>
                <w:rFonts w:ascii="Arial" w:hAnsi="Arial" w:cs="Arial"/>
                <w:color w:val="000000"/>
                <w:sz w:val="16"/>
                <w:szCs w:val="16"/>
              </w:rPr>
              <w:t>0</w:t>
            </w:r>
            <w:r w:rsidRPr="007D05CD">
              <w:rPr>
                <w:rFonts w:ascii="Arial" w:hAnsi="Arial" w:cs="Arial"/>
                <w:color w:val="000000"/>
                <w:sz w:val="16"/>
                <w:szCs w:val="16"/>
              </w:rPr>
              <w:t>%)</w:t>
            </w:r>
          </w:p>
        </w:tc>
        <w:tc>
          <w:tcPr>
            <w:tcW w:w="1632" w:type="dxa"/>
            <w:shd w:val="clear" w:color="auto" w:fill="FFFFFF"/>
          </w:tcPr>
          <w:p w14:paraId="691AC657" w14:textId="0B8FF999" w:rsidR="004F544A" w:rsidRPr="00710A3F"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9</w:t>
            </w:r>
            <w:r w:rsidRPr="007D05CD">
              <w:rPr>
                <w:rFonts w:ascii="Arial" w:hAnsi="Arial" w:cs="Arial"/>
                <w:color w:val="000000"/>
                <w:sz w:val="16"/>
                <w:szCs w:val="16"/>
              </w:rPr>
              <w:t>6 (</w:t>
            </w:r>
            <w:r>
              <w:rPr>
                <w:rFonts w:ascii="Arial" w:hAnsi="Arial" w:cs="Arial"/>
                <w:color w:val="000000"/>
                <w:sz w:val="16"/>
                <w:szCs w:val="16"/>
              </w:rPr>
              <w:t>1</w:t>
            </w:r>
            <w:r w:rsidRPr="007D05CD">
              <w:rPr>
                <w:rFonts w:ascii="Arial" w:hAnsi="Arial" w:cs="Arial"/>
                <w:color w:val="000000"/>
                <w:sz w:val="16"/>
                <w:szCs w:val="16"/>
              </w:rPr>
              <w:t>0.</w:t>
            </w:r>
            <w:r>
              <w:rPr>
                <w:rFonts w:ascii="Arial" w:hAnsi="Arial" w:cs="Arial"/>
                <w:color w:val="000000"/>
                <w:sz w:val="16"/>
                <w:szCs w:val="16"/>
              </w:rPr>
              <w:t>7</w:t>
            </w:r>
            <w:r w:rsidRPr="007D05CD">
              <w:rPr>
                <w:rFonts w:ascii="Arial" w:hAnsi="Arial" w:cs="Arial"/>
                <w:color w:val="000000"/>
                <w:sz w:val="16"/>
                <w:szCs w:val="16"/>
              </w:rPr>
              <w:t>%)</w:t>
            </w:r>
          </w:p>
        </w:tc>
        <w:tc>
          <w:tcPr>
            <w:tcW w:w="1260" w:type="dxa"/>
            <w:shd w:val="clear" w:color="auto" w:fill="FFFFFF"/>
          </w:tcPr>
          <w:p w14:paraId="2ABB66ED" w14:textId="4D08E3DF" w:rsidR="004F544A" w:rsidRPr="00710A3F" w:rsidRDefault="004F544A" w:rsidP="004F544A">
            <w:pPr>
              <w:adjustRightInd w:val="0"/>
              <w:spacing w:before="19" w:after="19"/>
              <w:jc w:val="center"/>
              <w:rPr>
                <w:rFonts w:ascii="Arial" w:hAnsi="Arial" w:cs="Arial"/>
                <w:color w:val="000000"/>
                <w:sz w:val="16"/>
                <w:szCs w:val="16"/>
              </w:rPr>
            </w:pPr>
          </w:p>
        </w:tc>
      </w:tr>
      <w:tr w:rsidR="002F3D2C" w:rsidRPr="007D05CD" w14:paraId="0C46EA70" w14:textId="77777777" w:rsidTr="002F3D2C">
        <w:trPr>
          <w:gridAfter w:val="1"/>
          <w:wAfter w:w="7" w:type="dxa"/>
          <w:cantSplit/>
        </w:trPr>
        <w:tc>
          <w:tcPr>
            <w:tcW w:w="3930" w:type="dxa"/>
            <w:shd w:val="clear" w:color="auto" w:fill="FFFFFF"/>
            <w:tcMar>
              <w:left w:w="19" w:type="dxa"/>
              <w:right w:w="19" w:type="dxa"/>
            </w:tcMar>
          </w:tcPr>
          <w:p w14:paraId="7C13F1FB" w14:textId="79FBF134" w:rsidR="004F544A" w:rsidRPr="007D05CD" w:rsidRDefault="004F544A" w:rsidP="004F544A">
            <w:pPr>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Medicaid</w:t>
            </w:r>
          </w:p>
        </w:tc>
        <w:tc>
          <w:tcPr>
            <w:tcW w:w="1555" w:type="dxa"/>
            <w:shd w:val="clear" w:color="auto" w:fill="FFFFFF"/>
            <w:tcMar>
              <w:left w:w="19" w:type="dxa"/>
              <w:right w:w="19" w:type="dxa"/>
            </w:tcMar>
          </w:tcPr>
          <w:p w14:paraId="24372C90" w14:textId="77777777" w:rsidR="004F544A" w:rsidRPr="007D05CD" w:rsidRDefault="004F544A" w:rsidP="004F544A">
            <w:pPr>
              <w:adjustRightInd w:val="0"/>
              <w:spacing w:before="19" w:after="19"/>
              <w:jc w:val="center"/>
              <w:rPr>
                <w:rFonts w:ascii="Arial" w:hAnsi="Arial" w:cs="Arial"/>
                <w:color w:val="000000"/>
                <w:sz w:val="16"/>
                <w:szCs w:val="16"/>
              </w:rPr>
            </w:pPr>
            <w:r w:rsidRPr="007D05CD">
              <w:rPr>
                <w:rFonts w:ascii="Arial" w:hAnsi="Arial" w:cs="Arial"/>
                <w:color w:val="000000"/>
                <w:sz w:val="16"/>
                <w:szCs w:val="16"/>
              </w:rPr>
              <w:t>6</w:t>
            </w:r>
            <w:r>
              <w:rPr>
                <w:rFonts w:ascii="Arial" w:hAnsi="Arial" w:cs="Arial"/>
                <w:color w:val="000000"/>
                <w:sz w:val="16"/>
                <w:szCs w:val="16"/>
              </w:rPr>
              <w:t>40</w:t>
            </w:r>
            <w:r w:rsidRPr="007D05CD">
              <w:rPr>
                <w:rFonts w:ascii="Arial" w:hAnsi="Arial" w:cs="Arial"/>
                <w:color w:val="000000"/>
                <w:sz w:val="16"/>
                <w:szCs w:val="16"/>
              </w:rPr>
              <w:t xml:space="preserve"> (</w:t>
            </w:r>
            <w:r>
              <w:rPr>
                <w:rFonts w:ascii="Arial" w:hAnsi="Arial" w:cs="Arial"/>
                <w:color w:val="000000"/>
                <w:sz w:val="16"/>
                <w:szCs w:val="16"/>
              </w:rPr>
              <w:t>65</w:t>
            </w:r>
            <w:r w:rsidRPr="007D05CD">
              <w:rPr>
                <w:rFonts w:ascii="Arial" w:hAnsi="Arial" w:cs="Arial"/>
                <w:color w:val="000000"/>
                <w:sz w:val="16"/>
                <w:szCs w:val="16"/>
              </w:rPr>
              <w:t>.</w:t>
            </w:r>
            <w:r>
              <w:rPr>
                <w:rFonts w:ascii="Arial" w:hAnsi="Arial" w:cs="Arial"/>
                <w:color w:val="000000"/>
                <w:sz w:val="16"/>
                <w:szCs w:val="16"/>
              </w:rPr>
              <w:t>4</w:t>
            </w:r>
            <w:r w:rsidRPr="007D05CD">
              <w:rPr>
                <w:rFonts w:ascii="Arial" w:hAnsi="Arial" w:cs="Arial"/>
                <w:color w:val="000000"/>
                <w:sz w:val="16"/>
                <w:szCs w:val="16"/>
              </w:rPr>
              <w:t>%)</w:t>
            </w:r>
          </w:p>
        </w:tc>
        <w:tc>
          <w:tcPr>
            <w:tcW w:w="1632" w:type="dxa"/>
            <w:shd w:val="clear" w:color="auto" w:fill="FFFFFF"/>
          </w:tcPr>
          <w:p w14:paraId="50A9E5BB" w14:textId="2D670F77" w:rsidR="004F544A" w:rsidRPr="00710A3F" w:rsidRDefault="004F544A" w:rsidP="004F544A">
            <w:pPr>
              <w:adjustRightInd w:val="0"/>
              <w:spacing w:before="19" w:after="19"/>
              <w:jc w:val="center"/>
              <w:rPr>
                <w:rFonts w:ascii="Arial" w:hAnsi="Arial" w:cs="Arial"/>
                <w:color w:val="000000"/>
                <w:sz w:val="16"/>
                <w:szCs w:val="16"/>
              </w:rPr>
            </w:pPr>
            <w:r w:rsidRPr="007D05CD">
              <w:rPr>
                <w:rFonts w:ascii="Arial" w:hAnsi="Arial" w:cs="Arial"/>
                <w:color w:val="000000"/>
                <w:sz w:val="16"/>
                <w:szCs w:val="16"/>
              </w:rPr>
              <w:t>6</w:t>
            </w:r>
            <w:r>
              <w:rPr>
                <w:rFonts w:ascii="Arial" w:hAnsi="Arial" w:cs="Arial"/>
                <w:color w:val="000000"/>
                <w:sz w:val="16"/>
                <w:szCs w:val="16"/>
              </w:rPr>
              <w:t>66</w:t>
            </w:r>
            <w:r w:rsidRPr="007D05CD">
              <w:rPr>
                <w:rFonts w:ascii="Arial" w:hAnsi="Arial" w:cs="Arial"/>
                <w:color w:val="000000"/>
                <w:sz w:val="16"/>
                <w:szCs w:val="16"/>
              </w:rPr>
              <w:t xml:space="preserve"> (</w:t>
            </w:r>
            <w:r>
              <w:rPr>
                <w:rFonts w:ascii="Arial" w:hAnsi="Arial" w:cs="Arial"/>
                <w:color w:val="000000"/>
                <w:sz w:val="16"/>
                <w:szCs w:val="16"/>
              </w:rPr>
              <w:t>75</w:t>
            </w:r>
            <w:r w:rsidRPr="007D05CD">
              <w:rPr>
                <w:rFonts w:ascii="Arial" w:hAnsi="Arial" w:cs="Arial"/>
                <w:color w:val="000000"/>
                <w:sz w:val="16"/>
                <w:szCs w:val="16"/>
              </w:rPr>
              <w:t>.</w:t>
            </w:r>
            <w:r>
              <w:rPr>
                <w:rFonts w:ascii="Arial" w:hAnsi="Arial" w:cs="Arial"/>
                <w:color w:val="000000"/>
                <w:sz w:val="16"/>
                <w:szCs w:val="16"/>
              </w:rPr>
              <w:t>9</w:t>
            </w:r>
            <w:r w:rsidRPr="007D05CD">
              <w:rPr>
                <w:rFonts w:ascii="Arial" w:hAnsi="Arial" w:cs="Arial"/>
                <w:color w:val="000000"/>
                <w:sz w:val="16"/>
                <w:szCs w:val="16"/>
              </w:rPr>
              <w:t>%)</w:t>
            </w:r>
          </w:p>
        </w:tc>
        <w:tc>
          <w:tcPr>
            <w:tcW w:w="1260" w:type="dxa"/>
            <w:shd w:val="clear" w:color="auto" w:fill="FFFFFF"/>
          </w:tcPr>
          <w:p w14:paraId="73B545E2" w14:textId="4337D9C3" w:rsidR="004F544A" w:rsidRPr="00710A3F" w:rsidRDefault="004F544A" w:rsidP="004F544A">
            <w:pPr>
              <w:adjustRightInd w:val="0"/>
              <w:spacing w:before="19" w:after="19"/>
              <w:jc w:val="center"/>
              <w:rPr>
                <w:rFonts w:ascii="Arial" w:hAnsi="Arial" w:cs="Arial"/>
                <w:color w:val="000000"/>
                <w:sz w:val="16"/>
                <w:szCs w:val="16"/>
              </w:rPr>
            </w:pPr>
          </w:p>
        </w:tc>
      </w:tr>
      <w:tr w:rsidR="002F3D2C" w:rsidRPr="007D05CD" w14:paraId="73137A08" w14:textId="77777777" w:rsidTr="002F3D2C">
        <w:trPr>
          <w:gridAfter w:val="1"/>
          <w:wAfter w:w="7" w:type="dxa"/>
          <w:cantSplit/>
        </w:trPr>
        <w:tc>
          <w:tcPr>
            <w:tcW w:w="3930" w:type="dxa"/>
            <w:shd w:val="clear" w:color="auto" w:fill="FFFFFF"/>
            <w:tcMar>
              <w:left w:w="19" w:type="dxa"/>
              <w:right w:w="19" w:type="dxa"/>
            </w:tcMar>
          </w:tcPr>
          <w:p w14:paraId="6989E3F6" w14:textId="4B422BC5" w:rsidR="004F544A" w:rsidRPr="007D05CD" w:rsidRDefault="004F544A" w:rsidP="004F544A">
            <w:pPr>
              <w:adjustRightInd w:val="0"/>
              <w:spacing w:before="19" w:after="19"/>
              <w:rPr>
                <w:rFonts w:ascii="Arial" w:hAnsi="Arial" w:cs="Arial"/>
                <w:color w:val="000000"/>
                <w:sz w:val="16"/>
                <w:szCs w:val="16"/>
              </w:rPr>
            </w:pPr>
            <w:r>
              <w:rPr>
                <w:rFonts w:ascii="Arial" w:hAnsi="Arial" w:cs="Arial"/>
                <w:color w:val="000000"/>
                <w:sz w:val="16"/>
                <w:szCs w:val="16"/>
              </w:rPr>
              <w:t xml:space="preserve">  </w:t>
            </w:r>
            <w:r w:rsidRPr="007D05CD">
              <w:rPr>
                <w:rFonts w:ascii="Arial" w:hAnsi="Arial" w:cs="Arial"/>
                <w:color w:val="000000"/>
                <w:sz w:val="16"/>
                <w:szCs w:val="16"/>
              </w:rPr>
              <w:t>Medicaid</w:t>
            </w:r>
            <w:r>
              <w:rPr>
                <w:rFonts w:ascii="Arial" w:hAnsi="Arial" w:cs="Arial"/>
                <w:color w:val="000000"/>
                <w:sz w:val="16"/>
                <w:szCs w:val="16"/>
              </w:rPr>
              <w:t xml:space="preserve"> Advantage</w:t>
            </w:r>
          </w:p>
        </w:tc>
        <w:tc>
          <w:tcPr>
            <w:tcW w:w="1555" w:type="dxa"/>
            <w:shd w:val="clear" w:color="auto" w:fill="FFFFFF"/>
            <w:tcMar>
              <w:left w:w="19" w:type="dxa"/>
              <w:right w:w="19" w:type="dxa"/>
            </w:tcMar>
          </w:tcPr>
          <w:p w14:paraId="69FB4EB9" w14:textId="77777777" w:rsidR="004F544A" w:rsidRPr="007D05CD"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25 (2.6%)</w:t>
            </w:r>
          </w:p>
        </w:tc>
        <w:tc>
          <w:tcPr>
            <w:tcW w:w="1632" w:type="dxa"/>
            <w:shd w:val="clear" w:color="auto" w:fill="FFFFFF"/>
          </w:tcPr>
          <w:p w14:paraId="28F22956" w14:textId="65C91A80" w:rsidR="004F544A"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17 (1.9%)</w:t>
            </w:r>
          </w:p>
        </w:tc>
        <w:tc>
          <w:tcPr>
            <w:tcW w:w="1260" w:type="dxa"/>
            <w:shd w:val="clear" w:color="auto" w:fill="FFFFFF"/>
          </w:tcPr>
          <w:p w14:paraId="690800CC" w14:textId="20DF133F" w:rsidR="004F544A" w:rsidRDefault="004F544A" w:rsidP="004F544A">
            <w:pPr>
              <w:adjustRightInd w:val="0"/>
              <w:spacing w:before="19" w:after="19"/>
              <w:jc w:val="center"/>
              <w:rPr>
                <w:rFonts w:ascii="Arial" w:hAnsi="Arial" w:cs="Arial"/>
                <w:color w:val="000000"/>
                <w:sz w:val="16"/>
                <w:szCs w:val="16"/>
              </w:rPr>
            </w:pPr>
          </w:p>
        </w:tc>
      </w:tr>
      <w:tr w:rsidR="002F3D2C" w:rsidRPr="007D05CD" w14:paraId="6D791BC9" w14:textId="77777777" w:rsidTr="002F3D2C">
        <w:trPr>
          <w:gridAfter w:val="1"/>
          <w:wAfter w:w="7" w:type="dxa"/>
          <w:cantSplit/>
        </w:trPr>
        <w:tc>
          <w:tcPr>
            <w:tcW w:w="3930" w:type="dxa"/>
            <w:shd w:val="clear" w:color="auto" w:fill="FFFFFF"/>
            <w:tcMar>
              <w:left w:w="19" w:type="dxa"/>
              <w:right w:w="19" w:type="dxa"/>
            </w:tcMar>
          </w:tcPr>
          <w:p w14:paraId="4BC97943" w14:textId="6E74F10B" w:rsidR="004F544A" w:rsidRPr="007D05CD" w:rsidRDefault="004F544A" w:rsidP="004F544A">
            <w:pPr>
              <w:adjustRightInd w:val="0"/>
              <w:spacing w:before="19" w:after="19"/>
              <w:rPr>
                <w:rFonts w:ascii="Arial" w:hAnsi="Arial" w:cs="Arial"/>
                <w:color w:val="000000"/>
                <w:sz w:val="16"/>
                <w:szCs w:val="16"/>
              </w:rPr>
            </w:pPr>
            <w:r>
              <w:rPr>
                <w:rFonts w:ascii="Arial" w:hAnsi="Arial" w:cs="Arial"/>
                <w:color w:val="000000"/>
                <w:sz w:val="16"/>
                <w:szCs w:val="16"/>
              </w:rPr>
              <w:t xml:space="preserve">  Unknown</w:t>
            </w:r>
          </w:p>
        </w:tc>
        <w:tc>
          <w:tcPr>
            <w:tcW w:w="1555" w:type="dxa"/>
            <w:shd w:val="clear" w:color="auto" w:fill="FFFFFF"/>
            <w:tcMar>
              <w:left w:w="19" w:type="dxa"/>
              <w:right w:w="19" w:type="dxa"/>
            </w:tcMar>
          </w:tcPr>
          <w:p w14:paraId="0B3DD536" w14:textId="77777777" w:rsidR="004F544A" w:rsidRPr="007D05CD"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176 (18.0%)</w:t>
            </w:r>
          </w:p>
        </w:tc>
        <w:tc>
          <w:tcPr>
            <w:tcW w:w="1632" w:type="dxa"/>
            <w:shd w:val="clear" w:color="auto" w:fill="FFFFFF"/>
          </w:tcPr>
          <w:p w14:paraId="47AB9629" w14:textId="6F0A8B45" w:rsidR="004F544A" w:rsidRDefault="004F544A" w:rsidP="004F544A">
            <w:pPr>
              <w:adjustRightInd w:val="0"/>
              <w:spacing w:before="19" w:after="19"/>
              <w:jc w:val="center"/>
              <w:rPr>
                <w:rFonts w:ascii="Arial" w:hAnsi="Arial" w:cs="Arial"/>
                <w:color w:val="000000"/>
                <w:sz w:val="16"/>
                <w:szCs w:val="16"/>
              </w:rPr>
            </w:pPr>
            <w:r>
              <w:rPr>
                <w:rFonts w:ascii="Arial" w:hAnsi="Arial" w:cs="Arial"/>
                <w:color w:val="000000"/>
                <w:sz w:val="16"/>
                <w:szCs w:val="16"/>
              </w:rPr>
              <w:t>122 (13.5%)</w:t>
            </w:r>
          </w:p>
        </w:tc>
        <w:tc>
          <w:tcPr>
            <w:tcW w:w="1260" w:type="dxa"/>
            <w:shd w:val="clear" w:color="auto" w:fill="FFFFFF"/>
          </w:tcPr>
          <w:p w14:paraId="5E29323C" w14:textId="6D288CB9" w:rsidR="004F544A" w:rsidRDefault="004F544A" w:rsidP="004F544A">
            <w:pPr>
              <w:adjustRightInd w:val="0"/>
              <w:spacing w:before="19" w:after="19"/>
              <w:jc w:val="center"/>
              <w:rPr>
                <w:rFonts w:ascii="Arial" w:hAnsi="Arial" w:cs="Arial"/>
                <w:color w:val="000000"/>
                <w:sz w:val="16"/>
                <w:szCs w:val="16"/>
              </w:rPr>
            </w:pPr>
          </w:p>
        </w:tc>
      </w:tr>
      <w:tr w:rsidR="002F3D2C" w:rsidRPr="007D05CD" w14:paraId="7F36D26B" w14:textId="77777777" w:rsidTr="002F3D2C">
        <w:trPr>
          <w:gridAfter w:val="1"/>
          <w:wAfter w:w="7" w:type="dxa"/>
          <w:cantSplit/>
        </w:trPr>
        <w:tc>
          <w:tcPr>
            <w:tcW w:w="5485" w:type="dxa"/>
            <w:gridSpan w:val="2"/>
            <w:shd w:val="clear" w:color="auto" w:fill="FFFFFF"/>
            <w:tcMar>
              <w:left w:w="19" w:type="dxa"/>
              <w:right w:w="19" w:type="dxa"/>
            </w:tcMar>
          </w:tcPr>
          <w:p w14:paraId="5A2BCEC0" w14:textId="77777777" w:rsidR="004F544A" w:rsidRPr="00367F36" w:rsidRDefault="004F544A" w:rsidP="004F544A">
            <w:pPr>
              <w:keepNext/>
              <w:adjustRightInd w:val="0"/>
              <w:spacing w:before="19" w:after="19"/>
              <w:rPr>
                <w:rFonts w:ascii="Arial" w:hAnsi="Arial" w:cs="Arial"/>
                <w:b/>
                <w:bCs/>
                <w:color w:val="000000"/>
                <w:sz w:val="16"/>
                <w:szCs w:val="16"/>
              </w:rPr>
            </w:pPr>
            <w:r w:rsidRPr="00367F36">
              <w:rPr>
                <w:rFonts w:ascii="Arial" w:hAnsi="Arial" w:cs="Arial"/>
                <w:b/>
                <w:bCs/>
                <w:color w:val="000000"/>
                <w:sz w:val="16"/>
                <w:szCs w:val="16"/>
              </w:rPr>
              <w:t>Census region, n (%)</w:t>
            </w:r>
          </w:p>
        </w:tc>
        <w:tc>
          <w:tcPr>
            <w:tcW w:w="1632" w:type="dxa"/>
            <w:shd w:val="clear" w:color="auto" w:fill="FFFFFF"/>
          </w:tcPr>
          <w:p w14:paraId="1DF56418" w14:textId="77777777" w:rsidR="004F544A" w:rsidRDefault="004F544A" w:rsidP="004F544A">
            <w:pPr>
              <w:keepNext/>
              <w:adjustRightInd w:val="0"/>
              <w:spacing w:before="19" w:after="19"/>
              <w:jc w:val="center"/>
              <w:rPr>
                <w:rFonts w:ascii="Arial" w:hAnsi="Arial" w:cs="Arial"/>
                <w:b/>
                <w:bCs/>
                <w:color w:val="000000"/>
                <w:sz w:val="16"/>
                <w:szCs w:val="16"/>
              </w:rPr>
            </w:pPr>
          </w:p>
        </w:tc>
        <w:tc>
          <w:tcPr>
            <w:tcW w:w="1260" w:type="dxa"/>
            <w:shd w:val="clear" w:color="auto" w:fill="FFFFFF"/>
          </w:tcPr>
          <w:p w14:paraId="5DA788C5" w14:textId="1CAC6D9A" w:rsidR="004F544A" w:rsidRPr="00367F36" w:rsidRDefault="004F544A" w:rsidP="004F544A">
            <w:pPr>
              <w:keepNext/>
              <w:adjustRightInd w:val="0"/>
              <w:spacing w:before="19" w:after="19"/>
              <w:jc w:val="center"/>
              <w:rPr>
                <w:rFonts w:ascii="Arial" w:hAnsi="Arial" w:cs="Arial"/>
                <w:b/>
                <w:bCs/>
                <w:color w:val="000000"/>
                <w:sz w:val="16"/>
                <w:szCs w:val="16"/>
              </w:rPr>
            </w:pPr>
            <w:r>
              <w:rPr>
                <w:rFonts w:ascii="Arial" w:hAnsi="Arial" w:cs="Arial"/>
                <w:b/>
                <w:bCs/>
                <w:color w:val="000000"/>
                <w:sz w:val="16"/>
                <w:szCs w:val="16"/>
              </w:rPr>
              <w:t>&lt;0.001</w:t>
            </w:r>
          </w:p>
        </w:tc>
      </w:tr>
      <w:tr w:rsidR="002F3D2C" w:rsidRPr="007D05CD" w14:paraId="527E15A0" w14:textId="77777777" w:rsidTr="002F3D2C">
        <w:trPr>
          <w:gridAfter w:val="1"/>
          <w:wAfter w:w="7" w:type="dxa"/>
          <w:cantSplit/>
        </w:trPr>
        <w:tc>
          <w:tcPr>
            <w:tcW w:w="3930" w:type="dxa"/>
            <w:shd w:val="clear" w:color="auto" w:fill="FFFFFF"/>
            <w:tcMar>
              <w:left w:w="19" w:type="dxa"/>
              <w:right w:w="19" w:type="dxa"/>
            </w:tcMar>
          </w:tcPr>
          <w:p w14:paraId="4A15B388" w14:textId="28EEA468"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Middle Atlantic</w:t>
            </w:r>
          </w:p>
        </w:tc>
        <w:tc>
          <w:tcPr>
            <w:tcW w:w="1555" w:type="dxa"/>
            <w:shd w:val="clear" w:color="auto" w:fill="FFFFFF"/>
            <w:tcMar>
              <w:left w:w="19" w:type="dxa"/>
              <w:right w:w="19" w:type="dxa"/>
            </w:tcMar>
          </w:tcPr>
          <w:p w14:paraId="3D954E62"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509</w:t>
            </w:r>
            <w:r w:rsidRPr="007D05CD">
              <w:rPr>
                <w:rFonts w:ascii="Arial" w:hAnsi="Arial" w:cs="Arial"/>
                <w:color w:val="000000"/>
                <w:sz w:val="16"/>
                <w:szCs w:val="16"/>
              </w:rPr>
              <w:t xml:space="preserve"> (</w:t>
            </w:r>
            <w:r>
              <w:rPr>
                <w:rFonts w:ascii="Arial" w:hAnsi="Arial" w:cs="Arial"/>
                <w:color w:val="000000"/>
                <w:sz w:val="16"/>
                <w:szCs w:val="16"/>
              </w:rPr>
              <w:t>52.0</w:t>
            </w:r>
            <w:r w:rsidRPr="007D05CD">
              <w:rPr>
                <w:rFonts w:ascii="Arial" w:hAnsi="Arial" w:cs="Arial"/>
                <w:color w:val="000000"/>
                <w:sz w:val="16"/>
                <w:szCs w:val="16"/>
              </w:rPr>
              <w:t>%)</w:t>
            </w:r>
          </w:p>
        </w:tc>
        <w:tc>
          <w:tcPr>
            <w:tcW w:w="1632" w:type="dxa"/>
            <w:shd w:val="clear" w:color="auto" w:fill="FFFFFF"/>
          </w:tcPr>
          <w:p w14:paraId="2BBB4251" w14:textId="4C94889E"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370</w:t>
            </w:r>
            <w:r w:rsidRPr="007D05CD">
              <w:rPr>
                <w:rFonts w:ascii="Arial" w:hAnsi="Arial" w:cs="Arial"/>
                <w:color w:val="000000"/>
                <w:sz w:val="16"/>
                <w:szCs w:val="16"/>
              </w:rPr>
              <w:t xml:space="preserve"> (</w:t>
            </w:r>
            <w:r>
              <w:rPr>
                <w:rFonts w:ascii="Arial" w:hAnsi="Arial" w:cs="Arial"/>
                <w:color w:val="000000"/>
                <w:sz w:val="16"/>
                <w:szCs w:val="16"/>
              </w:rPr>
              <w:t>41</w:t>
            </w:r>
            <w:r w:rsidRPr="007D05CD">
              <w:rPr>
                <w:rFonts w:ascii="Arial" w:hAnsi="Arial" w:cs="Arial"/>
                <w:color w:val="000000"/>
                <w:sz w:val="16"/>
                <w:szCs w:val="16"/>
              </w:rPr>
              <w:t>.</w:t>
            </w:r>
            <w:r>
              <w:rPr>
                <w:rFonts w:ascii="Arial" w:hAnsi="Arial" w:cs="Arial"/>
                <w:color w:val="000000"/>
                <w:sz w:val="16"/>
                <w:szCs w:val="16"/>
              </w:rPr>
              <w:t>1</w:t>
            </w:r>
            <w:r w:rsidRPr="007D05CD">
              <w:rPr>
                <w:rFonts w:ascii="Arial" w:hAnsi="Arial" w:cs="Arial"/>
                <w:color w:val="000000"/>
                <w:sz w:val="16"/>
                <w:szCs w:val="16"/>
              </w:rPr>
              <w:t>%)</w:t>
            </w:r>
          </w:p>
        </w:tc>
        <w:tc>
          <w:tcPr>
            <w:tcW w:w="1260" w:type="dxa"/>
            <w:shd w:val="clear" w:color="auto" w:fill="FFFFFF"/>
          </w:tcPr>
          <w:p w14:paraId="23ECE79C" w14:textId="6A0DBA91"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2D0B7B1E" w14:textId="77777777" w:rsidTr="002F3D2C">
        <w:trPr>
          <w:gridAfter w:val="1"/>
          <w:wAfter w:w="7" w:type="dxa"/>
          <w:cantSplit/>
        </w:trPr>
        <w:tc>
          <w:tcPr>
            <w:tcW w:w="3930" w:type="dxa"/>
            <w:shd w:val="clear" w:color="auto" w:fill="FFFFFF"/>
            <w:tcMar>
              <w:left w:w="19" w:type="dxa"/>
              <w:right w:w="19" w:type="dxa"/>
            </w:tcMar>
          </w:tcPr>
          <w:p w14:paraId="75FF06E8" w14:textId="1D55433D"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East South Central</w:t>
            </w:r>
          </w:p>
        </w:tc>
        <w:tc>
          <w:tcPr>
            <w:tcW w:w="1555" w:type="dxa"/>
            <w:shd w:val="clear" w:color="auto" w:fill="FFFFFF"/>
            <w:tcMar>
              <w:left w:w="19" w:type="dxa"/>
              <w:right w:w="19" w:type="dxa"/>
            </w:tcMar>
          </w:tcPr>
          <w:p w14:paraId="53B8E42C"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269</w:t>
            </w:r>
            <w:r w:rsidRPr="007D05CD">
              <w:rPr>
                <w:rFonts w:ascii="Arial" w:hAnsi="Arial" w:cs="Arial"/>
                <w:color w:val="000000"/>
                <w:sz w:val="16"/>
                <w:szCs w:val="16"/>
              </w:rPr>
              <w:t xml:space="preserve"> (</w:t>
            </w:r>
            <w:r>
              <w:rPr>
                <w:rFonts w:ascii="Arial" w:hAnsi="Arial" w:cs="Arial"/>
                <w:color w:val="000000"/>
                <w:sz w:val="16"/>
                <w:szCs w:val="16"/>
              </w:rPr>
              <w:t>27</w:t>
            </w:r>
            <w:r w:rsidRPr="007D05CD">
              <w:rPr>
                <w:rFonts w:ascii="Arial" w:hAnsi="Arial" w:cs="Arial"/>
                <w:color w:val="000000"/>
                <w:sz w:val="16"/>
                <w:szCs w:val="16"/>
              </w:rPr>
              <w:t>.5%)</w:t>
            </w:r>
          </w:p>
        </w:tc>
        <w:tc>
          <w:tcPr>
            <w:tcW w:w="1632" w:type="dxa"/>
            <w:shd w:val="clear" w:color="auto" w:fill="FFFFFF"/>
          </w:tcPr>
          <w:p w14:paraId="77BCB3F3" w14:textId="7949F8C0" w:rsidR="004F544A" w:rsidRDefault="004F544A" w:rsidP="004F544A">
            <w:pPr>
              <w:keepNext/>
              <w:adjustRightInd w:val="0"/>
              <w:spacing w:before="19" w:after="19"/>
              <w:jc w:val="center"/>
              <w:rPr>
                <w:rFonts w:ascii="Arial" w:hAnsi="Arial" w:cs="Arial"/>
                <w:color w:val="000000"/>
                <w:sz w:val="16"/>
                <w:szCs w:val="16"/>
              </w:rPr>
            </w:pPr>
            <w:r w:rsidRPr="007D05CD">
              <w:rPr>
                <w:rFonts w:ascii="Arial" w:hAnsi="Arial" w:cs="Arial"/>
                <w:color w:val="000000"/>
                <w:sz w:val="16"/>
                <w:szCs w:val="16"/>
              </w:rPr>
              <w:t>3</w:t>
            </w:r>
            <w:r>
              <w:rPr>
                <w:rFonts w:ascii="Arial" w:hAnsi="Arial" w:cs="Arial"/>
                <w:color w:val="000000"/>
                <w:sz w:val="16"/>
                <w:szCs w:val="16"/>
              </w:rPr>
              <w:t>41</w:t>
            </w:r>
            <w:r w:rsidRPr="007D05CD">
              <w:rPr>
                <w:rFonts w:ascii="Arial" w:hAnsi="Arial" w:cs="Arial"/>
                <w:color w:val="000000"/>
                <w:sz w:val="16"/>
                <w:szCs w:val="16"/>
              </w:rPr>
              <w:t xml:space="preserve"> (</w:t>
            </w:r>
            <w:r>
              <w:rPr>
                <w:rFonts w:ascii="Arial" w:hAnsi="Arial" w:cs="Arial"/>
                <w:color w:val="000000"/>
                <w:sz w:val="16"/>
                <w:szCs w:val="16"/>
              </w:rPr>
              <w:t>37</w:t>
            </w:r>
            <w:r w:rsidRPr="007D05CD">
              <w:rPr>
                <w:rFonts w:ascii="Arial" w:hAnsi="Arial" w:cs="Arial"/>
                <w:color w:val="000000"/>
                <w:sz w:val="16"/>
                <w:szCs w:val="16"/>
              </w:rPr>
              <w:t>.</w:t>
            </w:r>
            <w:r>
              <w:rPr>
                <w:rFonts w:ascii="Arial" w:hAnsi="Arial" w:cs="Arial"/>
                <w:color w:val="000000"/>
                <w:sz w:val="16"/>
                <w:szCs w:val="16"/>
              </w:rPr>
              <w:t>8</w:t>
            </w:r>
            <w:r w:rsidRPr="007D05CD">
              <w:rPr>
                <w:rFonts w:ascii="Arial" w:hAnsi="Arial" w:cs="Arial"/>
                <w:color w:val="000000"/>
                <w:sz w:val="16"/>
                <w:szCs w:val="16"/>
              </w:rPr>
              <w:t>%)</w:t>
            </w:r>
          </w:p>
        </w:tc>
        <w:tc>
          <w:tcPr>
            <w:tcW w:w="1260" w:type="dxa"/>
            <w:shd w:val="clear" w:color="auto" w:fill="FFFFFF"/>
          </w:tcPr>
          <w:p w14:paraId="7716496B" w14:textId="49EBD7A5"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71800000" w14:textId="77777777" w:rsidTr="002F3D2C">
        <w:trPr>
          <w:gridAfter w:val="1"/>
          <w:wAfter w:w="7" w:type="dxa"/>
          <w:cantSplit/>
        </w:trPr>
        <w:tc>
          <w:tcPr>
            <w:tcW w:w="3930" w:type="dxa"/>
            <w:shd w:val="clear" w:color="auto" w:fill="FFFFFF"/>
            <w:tcMar>
              <w:left w:w="19" w:type="dxa"/>
              <w:right w:w="19" w:type="dxa"/>
            </w:tcMar>
          </w:tcPr>
          <w:p w14:paraId="1F673A33" w14:textId="00429BA4"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East North Central</w:t>
            </w:r>
          </w:p>
        </w:tc>
        <w:tc>
          <w:tcPr>
            <w:tcW w:w="1555" w:type="dxa"/>
            <w:shd w:val="clear" w:color="auto" w:fill="FFFFFF"/>
            <w:tcMar>
              <w:left w:w="19" w:type="dxa"/>
              <w:right w:w="19" w:type="dxa"/>
            </w:tcMar>
          </w:tcPr>
          <w:p w14:paraId="56306A74"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w:t>
            </w:r>
            <w:r w:rsidRPr="007D05CD">
              <w:rPr>
                <w:rFonts w:ascii="Arial" w:hAnsi="Arial" w:cs="Arial"/>
                <w:color w:val="000000"/>
                <w:sz w:val="16"/>
                <w:szCs w:val="16"/>
              </w:rPr>
              <w:t>7 (</w:t>
            </w:r>
            <w:r>
              <w:rPr>
                <w:rFonts w:ascii="Arial" w:hAnsi="Arial" w:cs="Arial"/>
                <w:color w:val="000000"/>
                <w:sz w:val="16"/>
                <w:szCs w:val="16"/>
              </w:rPr>
              <w:t>6</w:t>
            </w:r>
            <w:r w:rsidRPr="007D05CD">
              <w:rPr>
                <w:rFonts w:ascii="Arial" w:hAnsi="Arial" w:cs="Arial"/>
                <w:color w:val="000000"/>
                <w:sz w:val="16"/>
                <w:szCs w:val="16"/>
              </w:rPr>
              <w:t>.</w:t>
            </w:r>
            <w:r>
              <w:rPr>
                <w:rFonts w:ascii="Arial" w:hAnsi="Arial" w:cs="Arial"/>
                <w:color w:val="000000"/>
                <w:sz w:val="16"/>
                <w:szCs w:val="16"/>
              </w:rPr>
              <w:t>9</w:t>
            </w:r>
            <w:r w:rsidRPr="007D05CD">
              <w:rPr>
                <w:rFonts w:ascii="Arial" w:hAnsi="Arial" w:cs="Arial"/>
                <w:color w:val="000000"/>
                <w:sz w:val="16"/>
                <w:szCs w:val="16"/>
              </w:rPr>
              <w:t>%)</w:t>
            </w:r>
          </w:p>
        </w:tc>
        <w:tc>
          <w:tcPr>
            <w:tcW w:w="1632" w:type="dxa"/>
            <w:shd w:val="clear" w:color="auto" w:fill="FFFFFF"/>
          </w:tcPr>
          <w:p w14:paraId="2E35FA70" w14:textId="25D8D869"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81</w:t>
            </w:r>
            <w:r w:rsidRPr="007D05CD">
              <w:rPr>
                <w:rFonts w:ascii="Arial" w:hAnsi="Arial" w:cs="Arial"/>
                <w:color w:val="000000"/>
                <w:sz w:val="16"/>
                <w:szCs w:val="16"/>
              </w:rPr>
              <w:t xml:space="preserve"> (</w:t>
            </w:r>
            <w:r>
              <w:rPr>
                <w:rFonts w:ascii="Arial" w:hAnsi="Arial" w:cs="Arial"/>
                <w:color w:val="000000"/>
                <w:sz w:val="16"/>
                <w:szCs w:val="16"/>
              </w:rPr>
              <w:t>9</w:t>
            </w:r>
            <w:r w:rsidRPr="007D05CD">
              <w:rPr>
                <w:rFonts w:ascii="Arial" w:hAnsi="Arial" w:cs="Arial"/>
                <w:color w:val="000000"/>
                <w:sz w:val="16"/>
                <w:szCs w:val="16"/>
              </w:rPr>
              <w:t>.</w:t>
            </w:r>
            <w:r>
              <w:rPr>
                <w:rFonts w:ascii="Arial" w:hAnsi="Arial" w:cs="Arial"/>
                <w:color w:val="000000"/>
                <w:sz w:val="16"/>
                <w:szCs w:val="16"/>
              </w:rPr>
              <w:t>0</w:t>
            </w:r>
            <w:r w:rsidRPr="007D05CD">
              <w:rPr>
                <w:rFonts w:ascii="Arial" w:hAnsi="Arial" w:cs="Arial"/>
                <w:color w:val="000000"/>
                <w:sz w:val="16"/>
                <w:szCs w:val="16"/>
              </w:rPr>
              <w:t>%)</w:t>
            </w:r>
          </w:p>
        </w:tc>
        <w:tc>
          <w:tcPr>
            <w:tcW w:w="1260" w:type="dxa"/>
            <w:shd w:val="clear" w:color="auto" w:fill="FFFFFF"/>
          </w:tcPr>
          <w:p w14:paraId="1A70B943" w14:textId="1D505768"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4F1B9C2C" w14:textId="77777777" w:rsidTr="002F3D2C">
        <w:trPr>
          <w:gridAfter w:val="1"/>
          <w:wAfter w:w="7" w:type="dxa"/>
          <w:cantSplit/>
        </w:trPr>
        <w:tc>
          <w:tcPr>
            <w:tcW w:w="3930" w:type="dxa"/>
            <w:shd w:val="clear" w:color="auto" w:fill="FFFFFF"/>
            <w:tcMar>
              <w:left w:w="19" w:type="dxa"/>
              <w:right w:w="19" w:type="dxa"/>
            </w:tcMar>
          </w:tcPr>
          <w:p w14:paraId="78E64CE0" w14:textId="6DF4D401"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West South Central</w:t>
            </w:r>
          </w:p>
        </w:tc>
        <w:tc>
          <w:tcPr>
            <w:tcW w:w="1555" w:type="dxa"/>
            <w:shd w:val="clear" w:color="auto" w:fill="FFFFFF"/>
            <w:tcMar>
              <w:left w:w="19" w:type="dxa"/>
              <w:right w:w="19" w:type="dxa"/>
            </w:tcMar>
          </w:tcPr>
          <w:p w14:paraId="3620251D"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22</w:t>
            </w:r>
            <w:r w:rsidRPr="007D05CD">
              <w:rPr>
                <w:rFonts w:ascii="Arial" w:hAnsi="Arial" w:cs="Arial"/>
                <w:color w:val="000000"/>
                <w:sz w:val="16"/>
                <w:szCs w:val="16"/>
              </w:rPr>
              <w:t xml:space="preserve"> (</w:t>
            </w:r>
            <w:r>
              <w:rPr>
                <w:rFonts w:ascii="Arial" w:hAnsi="Arial" w:cs="Arial"/>
                <w:color w:val="000000"/>
                <w:sz w:val="16"/>
                <w:szCs w:val="16"/>
              </w:rPr>
              <w:t>2</w:t>
            </w:r>
            <w:r w:rsidRPr="007D05CD">
              <w:rPr>
                <w:rFonts w:ascii="Arial" w:hAnsi="Arial" w:cs="Arial"/>
                <w:color w:val="000000"/>
                <w:sz w:val="16"/>
                <w:szCs w:val="16"/>
              </w:rPr>
              <w:t>.</w:t>
            </w:r>
            <w:r>
              <w:rPr>
                <w:rFonts w:ascii="Arial" w:hAnsi="Arial" w:cs="Arial"/>
                <w:color w:val="000000"/>
                <w:sz w:val="16"/>
                <w:szCs w:val="16"/>
              </w:rPr>
              <w:t>4</w:t>
            </w:r>
            <w:r w:rsidRPr="007D05CD">
              <w:rPr>
                <w:rFonts w:ascii="Arial" w:hAnsi="Arial" w:cs="Arial"/>
                <w:color w:val="000000"/>
                <w:sz w:val="16"/>
                <w:szCs w:val="16"/>
              </w:rPr>
              <w:t>%)</w:t>
            </w:r>
          </w:p>
        </w:tc>
        <w:tc>
          <w:tcPr>
            <w:tcW w:w="1632" w:type="dxa"/>
            <w:shd w:val="clear" w:color="auto" w:fill="FFFFFF"/>
          </w:tcPr>
          <w:p w14:paraId="0051EE56" w14:textId="0AF2F4F6"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5</w:t>
            </w:r>
            <w:r w:rsidRPr="007D05CD">
              <w:rPr>
                <w:rFonts w:ascii="Arial" w:hAnsi="Arial" w:cs="Arial"/>
                <w:color w:val="000000"/>
                <w:sz w:val="16"/>
                <w:szCs w:val="16"/>
              </w:rPr>
              <w:t>0 (</w:t>
            </w:r>
            <w:r>
              <w:rPr>
                <w:rFonts w:ascii="Arial" w:hAnsi="Arial" w:cs="Arial"/>
                <w:color w:val="000000"/>
                <w:sz w:val="16"/>
                <w:szCs w:val="16"/>
              </w:rPr>
              <w:t>5</w:t>
            </w:r>
            <w:r w:rsidRPr="007D05CD">
              <w:rPr>
                <w:rFonts w:ascii="Arial" w:hAnsi="Arial" w:cs="Arial"/>
                <w:color w:val="000000"/>
                <w:sz w:val="16"/>
                <w:szCs w:val="16"/>
              </w:rPr>
              <w:t>.</w:t>
            </w:r>
            <w:r>
              <w:rPr>
                <w:rFonts w:ascii="Arial" w:hAnsi="Arial" w:cs="Arial"/>
                <w:color w:val="000000"/>
                <w:sz w:val="16"/>
                <w:szCs w:val="16"/>
              </w:rPr>
              <w:t>1</w:t>
            </w:r>
            <w:r w:rsidRPr="007D05CD">
              <w:rPr>
                <w:rFonts w:ascii="Arial" w:hAnsi="Arial" w:cs="Arial"/>
                <w:color w:val="000000"/>
                <w:sz w:val="16"/>
                <w:szCs w:val="16"/>
              </w:rPr>
              <w:t>%)</w:t>
            </w:r>
          </w:p>
        </w:tc>
        <w:tc>
          <w:tcPr>
            <w:tcW w:w="1260" w:type="dxa"/>
            <w:shd w:val="clear" w:color="auto" w:fill="FFFFFF"/>
          </w:tcPr>
          <w:p w14:paraId="0A3C8734" w14:textId="67D5635E"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0AE2C28C" w14:textId="77777777" w:rsidTr="002F3D2C">
        <w:trPr>
          <w:gridAfter w:val="1"/>
          <w:wAfter w:w="7" w:type="dxa"/>
          <w:cantSplit/>
        </w:trPr>
        <w:tc>
          <w:tcPr>
            <w:tcW w:w="3930" w:type="dxa"/>
            <w:shd w:val="clear" w:color="auto" w:fill="FFFFFF"/>
            <w:tcMar>
              <w:left w:w="19" w:type="dxa"/>
              <w:right w:w="19" w:type="dxa"/>
            </w:tcMar>
          </w:tcPr>
          <w:p w14:paraId="3909A03C" w14:textId="6214A27E"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South Atlantic</w:t>
            </w:r>
          </w:p>
        </w:tc>
        <w:tc>
          <w:tcPr>
            <w:tcW w:w="1555" w:type="dxa"/>
            <w:shd w:val="clear" w:color="auto" w:fill="FFFFFF"/>
            <w:tcMar>
              <w:left w:w="19" w:type="dxa"/>
              <w:right w:w="19" w:type="dxa"/>
            </w:tcMar>
          </w:tcPr>
          <w:p w14:paraId="4154FD55"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5</w:t>
            </w:r>
            <w:r w:rsidRPr="007D05CD">
              <w:rPr>
                <w:rFonts w:ascii="Arial" w:hAnsi="Arial" w:cs="Arial"/>
                <w:color w:val="000000"/>
                <w:sz w:val="16"/>
                <w:szCs w:val="16"/>
              </w:rPr>
              <w:t>5 (</w:t>
            </w:r>
            <w:r>
              <w:rPr>
                <w:rFonts w:ascii="Arial" w:hAnsi="Arial" w:cs="Arial"/>
                <w:color w:val="000000"/>
                <w:sz w:val="16"/>
                <w:szCs w:val="16"/>
              </w:rPr>
              <w:t>5</w:t>
            </w:r>
            <w:r w:rsidRPr="007D05CD">
              <w:rPr>
                <w:rFonts w:ascii="Arial" w:hAnsi="Arial" w:cs="Arial"/>
                <w:color w:val="000000"/>
                <w:sz w:val="16"/>
                <w:szCs w:val="16"/>
              </w:rPr>
              <w:t>.</w:t>
            </w:r>
            <w:r>
              <w:rPr>
                <w:rFonts w:ascii="Arial" w:hAnsi="Arial" w:cs="Arial"/>
                <w:color w:val="000000"/>
                <w:sz w:val="16"/>
                <w:szCs w:val="16"/>
              </w:rPr>
              <w:t>6</w:t>
            </w:r>
            <w:r w:rsidRPr="007D05CD">
              <w:rPr>
                <w:rFonts w:ascii="Arial" w:hAnsi="Arial" w:cs="Arial"/>
                <w:color w:val="000000"/>
                <w:sz w:val="16"/>
                <w:szCs w:val="16"/>
              </w:rPr>
              <w:t>%)</w:t>
            </w:r>
          </w:p>
        </w:tc>
        <w:tc>
          <w:tcPr>
            <w:tcW w:w="1632" w:type="dxa"/>
            <w:shd w:val="clear" w:color="auto" w:fill="FFFFFF"/>
          </w:tcPr>
          <w:p w14:paraId="0C633BCF" w14:textId="25AC396A"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62</w:t>
            </w:r>
            <w:r w:rsidRPr="007D05CD">
              <w:rPr>
                <w:rFonts w:ascii="Arial" w:hAnsi="Arial" w:cs="Arial"/>
                <w:color w:val="000000"/>
                <w:sz w:val="16"/>
                <w:szCs w:val="16"/>
              </w:rPr>
              <w:t xml:space="preserve"> (</w:t>
            </w:r>
            <w:r>
              <w:rPr>
                <w:rFonts w:ascii="Arial" w:hAnsi="Arial" w:cs="Arial"/>
                <w:color w:val="000000"/>
                <w:sz w:val="16"/>
                <w:szCs w:val="16"/>
              </w:rPr>
              <w:t>6</w:t>
            </w:r>
            <w:r w:rsidRPr="007D05CD">
              <w:rPr>
                <w:rFonts w:ascii="Arial" w:hAnsi="Arial" w:cs="Arial"/>
                <w:color w:val="000000"/>
                <w:sz w:val="16"/>
                <w:szCs w:val="16"/>
              </w:rPr>
              <w:t>.</w:t>
            </w:r>
            <w:r>
              <w:rPr>
                <w:rFonts w:ascii="Arial" w:hAnsi="Arial" w:cs="Arial"/>
                <w:color w:val="000000"/>
                <w:sz w:val="16"/>
                <w:szCs w:val="16"/>
              </w:rPr>
              <w:t>9</w:t>
            </w:r>
            <w:r w:rsidRPr="007D05CD">
              <w:rPr>
                <w:rFonts w:ascii="Arial" w:hAnsi="Arial" w:cs="Arial"/>
                <w:color w:val="000000"/>
                <w:sz w:val="16"/>
                <w:szCs w:val="16"/>
              </w:rPr>
              <w:t>%)</w:t>
            </w:r>
          </w:p>
        </w:tc>
        <w:tc>
          <w:tcPr>
            <w:tcW w:w="1260" w:type="dxa"/>
            <w:shd w:val="clear" w:color="auto" w:fill="FFFFFF"/>
          </w:tcPr>
          <w:p w14:paraId="7487700E" w14:textId="6230FCE8"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2A1BF84E" w14:textId="77777777" w:rsidTr="002F3D2C">
        <w:trPr>
          <w:gridAfter w:val="1"/>
          <w:wAfter w:w="7" w:type="dxa"/>
          <w:cantSplit/>
        </w:trPr>
        <w:tc>
          <w:tcPr>
            <w:tcW w:w="3930" w:type="dxa"/>
            <w:shd w:val="clear" w:color="auto" w:fill="FFFFFF"/>
            <w:tcMar>
              <w:left w:w="19" w:type="dxa"/>
              <w:right w:w="19" w:type="dxa"/>
            </w:tcMar>
          </w:tcPr>
          <w:p w14:paraId="2BF7DFB0" w14:textId="7B72CE7A"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Other</w:t>
            </w:r>
          </w:p>
        </w:tc>
        <w:tc>
          <w:tcPr>
            <w:tcW w:w="1555" w:type="dxa"/>
            <w:shd w:val="clear" w:color="auto" w:fill="FFFFFF"/>
            <w:tcMar>
              <w:left w:w="19" w:type="dxa"/>
              <w:right w:w="19" w:type="dxa"/>
            </w:tcMar>
          </w:tcPr>
          <w:p w14:paraId="5F4D31B0"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28</w:t>
            </w:r>
            <w:r w:rsidRPr="007D05CD">
              <w:rPr>
                <w:rFonts w:ascii="Arial" w:hAnsi="Arial" w:cs="Arial"/>
                <w:color w:val="000000"/>
                <w:sz w:val="16"/>
                <w:szCs w:val="16"/>
              </w:rPr>
              <w:t xml:space="preserve"> (2.</w:t>
            </w:r>
            <w:r>
              <w:rPr>
                <w:rFonts w:ascii="Arial" w:hAnsi="Arial" w:cs="Arial"/>
                <w:color w:val="000000"/>
                <w:sz w:val="16"/>
                <w:szCs w:val="16"/>
              </w:rPr>
              <w:t>9</w:t>
            </w:r>
            <w:r w:rsidRPr="007D05CD">
              <w:rPr>
                <w:rFonts w:ascii="Arial" w:hAnsi="Arial" w:cs="Arial"/>
                <w:color w:val="000000"/>
                <w:sz w:val="16"/>
                <w:szCs w:val="16"/>
              </w:rPr>
              <w:t>%)</w:t>
            </w:r>
          </w:p>
        </w:tc>
        <w:tc>
          <w:tcPr>
            <w:tcW w:w="1632" w:type="dxa"/>
            <w:shd w:val="clear" w:color="auto" w:fill="FFFFFF"/>
          </w:tcPr>
          <w:p w14:paraId="78FC0794" w14:textId="5B236C40"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2</w:t>
            </w:r>
            <w:r w:rsidRPr="007D05CD">
              <w:rPr>
                <w:rFonts w:ascii="Arial" w:hAnsi="Arial" w:cs="Arial"/>
                <w:color w:val="000000"/>
                <w:sz w:val="16"/>
                <w:szCs w:val="16"/>
              </w:rPr>
              <w:t>5 (2.</w:t>
            </w:r>
            <w:r>
              <w:rPr>
                <w:rFonts w:ascii="Arial" w:hAnsi="Arial" w:cs="Arial"/>
                <w:color w:val="000000"/>
                <w:sz w:val="16"/>
                <w:szCs w:val="16"/>
              </w:rPr>
              <w:t>8</w:t>
            </w:r>
            <w:r w:rsidRPr="007D05CD">
              <w:rPr>
                <w:rFonts w:ascii="Arial" w:hAnsi="Arial" w:cs="Arial"/>
                <w:color w:val="000000"/>
                <w:sz w:val="16"/>
                <w:szCs w:val="16"/>
              </w:rPr>
              <w:t>%)</w:t>
            </w:r>
          </w:p>
        </w:tc>
        <w:tc>
          <w:tcPr>
            <w:tcW w:w="1260" w:type="dxa"/>
            <w:shd w:val="clear" w:color="auto" w:fill="FFFFFF"/>
          </w:tcPr>
          <w:p w14:paraId="2F78031B" w14:textId="55FA28CC"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5E779A1C" w14:textId="77777777" w:rsidTr="002F3D2C">
        <w:trPr>
          <w:gridAfter w:val="1"/>
          <w:wAfter w:w="7" w:type="dxa"/>
          <w:cantSplit/>
        </w:trPr>
        <w:tc>
          <w:tcPr>
            <w:tcW w:w="3930" w:type="dxa"/>
            <w:shd w:val="clear" w:color="auto" w:fill="FFFFFF"/>
            <w:tcMar>
              <w:left w:w="19" w:type="dxa"/>
              <w:right w:w="19" w:type="dxa"/>
            </w:tcMar>
          </w:tcPr>
          <w:p w14:paraId="513A7B8D" w14:textId="225F063C" w:rsidR="004F544A" w:rsidRDefault="004F544A" w:rsidP="004F544A">
            <w:pPr>
              <w:keepNext/>
              <w:adjustRightInd w:val="0"/>
              <w:spacing w:before="19" w:after="19"/>
              <w:rPr>
                <w:rFonts w:ascii="Arial" w:hAnsi="Arial" w:cs="Arial"/>
                <w:color w:val="000000"/>
                <w:sz w:val="16"/>
                <w:szCs w:val="16"/>
              </w:rPr>
            </w:pPr>
            <w:r w:rsidRPr="00367F36">
              <w:rPr>
                <w:rFonts w:ascii="Arial" w:hAnsi="Arial" w:cs="Arial"/>
                <w:b/>
                <w:bCs/>
                <w:color w:val="000000"/>
                <w:sz w:val="16"/>
                <w:szCs w:val="16"/>
              </w:rPr>
              <w:t>Charlson comorbidity score</w:t>
            </w:r>
          </w:p>
        </w:tc>
        <w:tc>
          <w:tcPr>
            <w:tcW w:w="1555" w:type="dxa"/>
            <w:shd w:val="clear" w:color="auto" w:fill="FFFFFF"/>
            <w:tcMar>
              <w:left w:w="19" w:type="dxa"/>
              <w:right w:w="19" w:type="dxa"/>
            </w:tcMar>
          </w:tcPr>
          <w:p w14:paraId="4BA2AF15" w14:textId="77777777" w:rsidR="004F544A" w:rsidRDefault="004F544A" w:rsidP="004F544A">
            <w:pPr>
              <w:keepNext/>
              <w:adjustRightInd w:val="0"/>
              <w:spacing w:before="19" w:after="19"/>
              <w:jc w:val="center"/>
              <w:rPr>
                <w:rFonts w:ascii="Arial" w:hAnsi="Arial" w:cs="Arial"/>
                <w:color w:val="000000"/>
                <w:sz w:val="16"/>
                <w:szCs w:val="16"/>
              </w:rPr>
            </w:pPr>
          </w:p>
        </w:tc>
        <w:tc>
          <w:tcPr>
            <w:tcW w:w="1632" w:type="dxa"/>
            <w:shd w:val="clear" w:color="auto" w:fill="FFFFFF"/>
          </w:tcPr>
          <w:p w14:paraId="741EDD05" w14:textId="77777777" w:rsidR="004F544A" w:rsidRDefault="004F544A" w:rsidP="004F544A">
            <w:pPr>
              <w:keepNext/>
              <w:adjustRightInd w:val="0"/>
              <w:spacing w:before="19" w:after="19"/>
              <w:jc w:val="center"/>
              <w:rPr>
                <w:rFonts w:ascii="Arial" w:hAnsi="Arial" w:cs="Arial"/>
                <w:color w:val="000000"/>
                <w:sz w:val="16"/>
                <w:szCs w:val="16"/>
              </w:rPr>
            </w:pPr>
          </w:p>
        </w:tc>
        <w:tc>
          <w:tcPr>
            <w:tcW w:w="1260" w:type="dxa"/>
            <w:shd w:val="clear" w:color="auto" w:fill="FFFFFF"/>
          </w:tcPr>
          <w:p w14:paraId="3B2390D2" w14:textId="77BBA110"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0.457</w:t>
            </w:r>
          </w:p>
        </w:tc>
      </w:tr>
      <w:tr w:rsidR="002F3D2C" w:rsidRPr="007D05CD" w14:paraId="7DDD5290" w14:textId="77777777" w:rsidTr="002F3D2C">
        <w:trPr>
          <w:gridAfter w:val="1"/>
          <w:wAfter w:w="7" w:type="dxa"/>
          <w:cantSplit/>
        </w:trPr>
        <w:tc>
          <w:tcPr>
            <w:tcW w:w="3930" w:type="dxa"/>
            <w:shd w:val="clear" w:color="auto" w:fill="FFFFFF"/>
            <w:tcMar>
              <w:left w:w="19" w:type="dxa"/>
              <w:right w:w="19" w:type="dxa"/>
            </w:tcMar>
          </w:tcPr>
          <w:p w14:paraId="58A5F37B" w14:textId="2F38FA2A" w:rsidR="004F544A"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Mean (SD)</w:t>
            </w:r>
          </w:p>
        </w:tc>
        <w:tc>
          <w:tcPr>
            <w:tcW w:w="1555" w:type="dxa"/>
            <w:shd w:val="clear" w:color="auto" w:fill="FFFFFF"/>
            <w:tcMar>
              <w:left w:w="19" w:type="dxa"/>
              <w:right w:w="19" w:type="dxa"/>
            </w:tcMar>
          </w:tcPr>
          <w:p w14:paraId="717AA88C" w14:textId="77777777" w:rsidR="004F544A" w:rsidRDefault="004F544A" w:rsidP="004F544A">
            <w:pPr>
              <w:keepNext/>
              <w:adjustRightInd w:val="0"/>
              <w:spacing w:before="19" w:after="19"/>
              <w:jc w:val="center"/>
              <w:rPr>
                <w:rFonts w:ascii="Arial" w:hAnsi="Arial" w:cs="Arial"/>
                <w:color w:val="000000"/>
                <w:sz w:val="16"/>
                <w:szCs w:val="16"/>
              </w:rPr>
            </w:pPr>
            <w:r w:rsidRPr="007D05CD">
              <w:rPr>
                <w:rFonts w:ascii="Arial" w:hAnsi="Arial" w:cs="Arial"/>
                <w:color w:val="000000"/>
                <w:sz w:val="16"/>
                <w:szCs w:val="16"/>
              </w:rPr>
              <w:t>0.</w:t>
            </w:r>
            <w:r>
              <w:rPr>
                <w:rFonts w:ascii="Arial" w:hAnsi="Arial" w:cs="Arial"/>
                <w:color w:val="000000"/>
                <w:sz w:val="16"/>
                <w:szCs w:val="16"/>
              </w:rPr>
              <w:t>5</w:t>
            </w:r>
            <w:r w:rsidRPr="007D05CD">
              <w:rPr>
                <w:rFonts w:ascii="Arial" w:hAnsi="Arial" w:cs="Arial"/>
                <w:color w:val="000000"/>
                <w:sz w:val="16"/>
                <w:szCs w:val="16"/>
              </w:rPr>
              <w:t>66 (1.</w:t>
            </w:r>
            <w:r>
              <w:rPr>
                <w:rFonts w:ascii="Arial" w:hAnsi="Arial" w:cs="Arial"/>
                <w:color w:val="000000"/>
                <w:sz w:val="16"/>
                <w:szCs w:val="16"/>
              </w:rPr>
              <w:t>2425</w:t>
            </w:r>
            <w:r w:rsidRPr="007D05CD">
              <w:rPr>
                <w:rFonts w:ascii="Arial" w:hAnsi="Arial" w:cs="Arial"/>
                <w:color w:val="000000"/>
                <w:sz w:val="16"/>
                <w:szCs w:val="16"/>
              </w:rPr>
              <w:t>)</w:t>
            </w:r>
          </w:p>
        </w:tc>
        <w:tc>
          <w:tcPr>
            <w:tcW w:w="1632" w:type="dxa"/>
            <w:shd w:val="clear" w:color="auto" w:fill="FFFFFF"/>
          </w:tcPr>
          <w:p w14:paraId="4DAC87B5" w14:textId="2E0E6044" w:rsidR="004F544A" w:rsidRPr="007D05CD" w:rsidRDefault="004F544A" w:rsidP="004F544A">
            <w:pPr>
              <w:keepNext/>
              <w:adjustRightInd w:val="0"/>
              <w:spacing w:before="19" w:after="19"/>
              <w:jc w:val="center"/>
              <w:rPr>
                <w:rFonts w:ascii="Arial" w:hAnsi="Arial" w:cs="Arial"/>
                <w:color w:val="000000"/>
                <w:sz w:val="16"/>
                <w:szCs w:val="16"/>
              </w:rPr>
            </w:pPr>
            <w:r w:rsidRPr="007D05CD">
              <w:rPr>
                <w:rFonts w:ascii="Arial" w:hAnsi="Arial" w:cs="Arial"/>
                <w:color w:val="000000"/>
                <w:sz w:val="16"/>
                <w:szCs w:val="16"/>
              </w:rPr>
              <w:t>0.6</w:t>
            </w:r>
            <w:r>
              <w:rPr>
                <w:rFonts w:ascii="Arial" w:hAnsi="Arial" w:cs="Arial"/>
                <w:color w:val="000000"/>
                <w:sz w:val="16"/>
                <w:szCs w:val="16"/>
              </w:rPr>
              <w:t>09</w:t>
            </w:r>
            <w:r w:rsidRPr="007D05CD">
              <w:rPr>
                <w:rFonts w:ascii="Arial" w:hAnsi="Arial" w:cs="Arial"/>
                <w:color w:val="000000"/>
                <w:sz w:val="16"/>
                <w:szCs w:val="16"/>
              </w:rPr>
              <w:t xml:space="preserve"> (1.</w:t>
            </w:r>
            <w:r>
              <w:rPr>
                <w:rFonts w:ascii="Arial" w:hAnsi="Arial" w:cs="Arial"/>
                <w:color w:val="000000"/>
                <w:sz w:val="16"/>
                <w:szCs w:val="16"/>
              </w:rPr>
              <w:t>251</w:t>
            </w:r>
            <w:r w:rsidRPr="007D05CD">
              <w:rPr>
                <w:rFonts w:ascii="Arial" w:hAnsi="Arial" w:cs="Arial"/>
                <w:color w:val="000000"/>
                <w:sz w:val="16"/>
                <w:szCs w:val="16"/>
              </w:rPr>
              <w:t>)</w:t>
            </w:r>
          </w:p>
        </w:tc>
        <w:tc>
          <w:tcPr>
            <w:tcW w:w="1260" w:type="dxa"/>
            <w:shd w:val="clear" w:color="auto" w:fill="FFFFFF"/>
          </w:tcPr>
          <w:p w14:paraId="09A0EE29" w14:textId="5F11EC8B" w:rsidR="004F544A" w:rsidRPr="007D05CD" w:rsidRDefault="004F544A" w:rsidP="004F544A">
            <w:pPr>
              <w:keepNext/>
              <w:adjustRightInd w:val="0"/>
              <w:spacing w:before="19" w:after="19"/>
              <w:jc w:val="center"/>
              <w:rPr>
                <w:rFonts w:ascii="Arial" w:hAnsi="Arial" w:cs="Arial"/>
                <w:color w:val="000000"/>
                <w:sz w:val="16"/>
                <w:szCs w:val="16"/>
              </w:rPr>
            </w:pPr>
          </w:p>
        </w:tc>
      </w:tr>
      <w:tr w:rsidR="002F3D2C" w:rsidRPr="007D05CD" w14:paraId="295A49F0" w14:textId="77777777" w:rsidTr="002F3D2C">
        <w:trPr>
          <w:gridAfter w:val="1"/>
          <w:wAfter w:w="7" w:type="dxa"/>
          <w:cantSplit/>
        </w:trPr>
        <w:tc>
          <w:tcPr>
            <w:tcW w:w="3930" w:type="dxa"/>
            <w:shd w:val="clear" w:color="auto" w:fill="FFFFFF"/>
            <w:tcMar>
              <w:left w:w="19" w:type="dxa"/>
              <w:right w:w="19" w:type="dxa"/>
            </w:tcMar>
          </w:tcPr>
          <w:p w14:paraId="7EBB627D" w14:textId="4C6FD40F" w:rsidR="004F544A" w:rsidRPr="007D05CD" w:rsidRDefault="004F544A" w:rsidP="004F544A">
            <w:pPr>
              <w:keepNext/>
              <w:adjustRightInd w:val="0"/>
              <w:spacing w:before="19" w:after="19"/>
              <w:rPr>
                <w:rFonts w:ascii="Arial" w:hAnsi="Arial" w:cs="Arial"/>
                <w:color w:val="000000"/>
                <w:sz w:val="16"/>
                <w:szCs w:val="16"/>
              </w:rPr>
            </w:pPr>
            <w:r>
              <w:rPr>
                <w:rFonts w:ascii="Arial" w:hAnsi="Arial" w:cs="Arial"/>
                <w:color w:val="000000"/>
                <w:sz w:val="16"/>
                <w:szCs w:val="16"/>
              </w:rPr>
              <w:t>Mental health disorder, n (%)</w:t>
            </w:r>
          </w:p>
        </w:tc>
        <w:tc>
          <w:tcPr>
            <w:tcW w:w="1555" w:type="dxa"/>
            <w:shd w:val="clear" w:color="auto" w:fill="FFFFFF"/>
            <w:tcMar>
              <w:left w:w="19" w:type="dxa"/>
              <w:right w:w="19" w:type="dxa"/>
            </w:tcMar>
          </w:tcPr>
          <w:p w14:paraId="75BE468D"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492 (50.3%)</w:t>
            </w:r>
          </w:p>
        </w:tc>
        <w:tc>
          <w:tcPr>
            <w:tcW w:w="1632" w:type="dxa"/>
            <w:shd w:val="clear" w:color="auto" w:fill="FFFFFF"/>
          </w:tcPr>
          <w:p w14:paraId="7CB1AD89" w14:textId="788FD3D6"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441 (48.9%)</w:t>
            </w:r>
          </w:p>
        </w:tc>
        <w:tc>
          <w:tcPr>
            <w:tcW w:w="1260" w:type="dxa"/>
            <w:shd w:val="clear" w:color="auto" w:fill="FFFFFF"/>
          </w:tcPr>
          <w:p w14:paraId="1FA573DB" w14:textId="6EDF0437" w:rsidR="004F544A" w:rsidRPr="008C7F30" w:rsidRDefault="004F544A" w:rsidP="004F544A">
            <w:pPr>
              <w:keepNext/>
              <w:adjustRightInd w:val="0"/>
              <w:spacing w:before="19" w:after="19"/>
              <w:jc w:val="center"/>
              <w:rPr>
                <w:rFonts w:ascii="Arial" w:hAnsi="Arial" w:cs="Arial"/>
                <w:color w:val="000000"/>
                <w:sz w:val="16"/>
                <w:szCs w:val="16"/>
                <w:highlight w:val="yellow"/>
              </w:rPr>
            </w:pPr>
            <w:r>
              <w:rPr>
                <w:rFonts w:ascii="Arial" w:hAnsi="Arial" w:cs="Arial"/>
                <w:color w:val="000000"/>
                <w:sz w:val="16"/>
                <w:szCs w:val="16"/>
              </w:rPr>
              <w:t>0.556</w:t>
            </w:r>
          </w:p>
        </w:tc>
      </w:tr>
      <w:tr w:rsidR="002F3D2C" w:rsidRPr="007D05CD" w14:paraId="01B9A409" w14:textId="77777777" w:rsidTr="002F3D2C">
        <w:trPr>
          <w:gridAfter w:val="1"/>
          <w:wAfter w:w="7" w:type="dxa"/>
          <w:cantSplit/>
        </w:trPr>
        <w:tc>
          <w:tcPr>
            <w:tcW w:w="3930" w:type="dxa"/>
            <w:shd w:val="clear" w:color="auto" w:fill="FFFFFF"/>
            <w:tcMar>
              <w:left w:w="19" w:type="dxa"/>
              <w:right w:w="19" w:type="dxa"/>
            </w:tcMar>
          </w:tcPr>
          <w:p w14:paraId="4FE05000" w14:textId="2B1CB71C" w:rsidR="004F544A" w:rsidRPr="007D05CD" w:rsidRDefault="004F544A" w:rsidP="004F544A">
            <w:pPr>
              <w:keepNext/>
              <w:adjustRightInd w:val="0"/>
              <w:spacing w:before="19" w:after="19"/>
              <w:rPr>
                <w:rFonts w:ascii="Arial" w:hAnsi="Arial" w:cs="Arial"/>
                <w:color w:val="000000"/>
                <w:sz w:val="16"/>
                <w:szCs w:val="16"/>
              </w:rPr>
            </w:pPr>
            <w:r>
              <w:rPr>
                <w:rFonts w:ascii="Arial" w:hAnsi="Arial" w:cs="Arial"/>
                <w:color w:val="000000"/>
                <w:sz w:val="16"/>
                <w:szCs w:val="16"/>
              </w:rPr>
              <w:t>Non-OUD substance use disorder, n (%)</w:t>
            </w:r>
          </w:p>
        </w:tc>
        <w:tc>
          <w:tcPr>
            <w:tcW w:w="1555" w:type="dxa"/>
            <w:shd w:val="clear" w:color="auto" w:fill="FFFFFF"/>
            <w:tcMar>
              <w:left w:w="19" w:type="dxa"/>
              <w:right w:w="19" w:type="dxa"/>
            </w:tcMar>
          </w:tcPr>
          <w:p w14:paraId="6B69FA19"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578 (59.1%)</w:t>
            </w:r>
          </w:p>
        </w:tc>
        <w:tc>
          <w:tcPr>
            <w:tcW w:w="1632" w:type="dxa"/>
            <w:shd w:val="clear" w:color="auto" w:fill="FFFFFF"/>
          </w:tcPr>
          <w:p w14:paraId="14EC6181" w14:textId="40BEAF5B"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514 (57.0%)</w:t>
            </w:r>
          </w:p>
        </w:tc>
        <w:tc>
          <w:tcPr>
            <w:tcW w:w="1260" w:type="dxa"/>
            <w:shd w:val="clear" w:color="auto" w:fill="FFFFFF"/>
          </w:tcPr>
          <w:p w14:paraId="5BAC72B6" w14:textId="475B4ED7" w:rsidR="004F544A" w:rsidRPr="008C7F30" w:rsidRDefault="004F544A" w:rsidP="004F544A">
            <w:pPr>
              <w:keepNext/>
              <w:adjustRightInd w:val="0"/>
              <w:spacing w:before="19" w:after="19"/>
              <w:jc w:val="center"/>
              <w:rPr>
                <w:rFonts w:ascii="Arial" w:hAnsi="Arial" w:cs="Arial"/>
                <w:color w:val="000000"/>
                <w:sz w:val="16"/>
                <w:szCs w:val="16"/>
                <w:highlight w:val="yellow"/>
              </w:rPr>
            </w:pPr>
            <w:r>
              <w:rPr>
                <w:rFonts w:ascii="Arial" w:hAnsi="Arial" w:cs="Arial"/>
                <w:color w:val="000000"/>
                <w:sz w:val="16"/>
                <w:szCs w:val="16"/>
              </w:rPr>
              <w:t>0.368</w:t>
            </w:r>
          </w:p>
        </w:tc>
      </w:tr>
      <w:tr w:rsidR="002F3D2C" w:rsidRPr="007D05CD" w14:paraId="5A6A88D8" w14:textId="77777777" w:rsidTr="002F3D2C">
        <w:trPr>
          <w:gridAfter w:val="1"/>
          <w:wAfter w:w="7" w:type="dxa"/>
          <w:cantSplit/>
        </w:trPr>
        <w:tc>
          <w:tcPr>
            <w:tcW w:w="3930" w:type="dxa"/>
            <w:shd w:val="clear" w:color="auto" w:fill="FFFFFF"/>
            <w:tcMar>
              <w:left w:w="19" w:type="dxa"/>
              <w:right w:w="19" w:type="dxa"/>
            </w:tcMar>
          </w:tcPr>
          <w:p w14:paraId="49DEB131" w14:textId="00B39166" w:rsidR="004F544A" w:rsidRPr="007D05CD" w:rsidRDefault="004F544A" w:rsidP="004F544A">
            <w:pPr>
              <w:keepNext/>
              <w:adjustRightInd w:val="0"/>
              <w:spacing w:before="19" w:after="19"/>
              <w:rPr>
                <w:rFonts w:ascii="Arial" w:hAnsi="Arial" w:cs="Arial"/>
                <w:color w:val="000000"/>
                <w:sz w:val="16"/>
                <w:szCs w:val="16"/>
              </w:rPr>
            </w:pPr>
            <w:r w:rsidRPr="00E51FE5">
              <w:rPr>
                <w:rFonts w:ascii="Arial" w:hAnsi="Arial" w:cs="Arial"/>
                <w:b/>
                <w:bCs/>
                <w:color w:val="000000"/>
                <w:sz w:val="16"/>
                <w:szCs w:val="16"/>
              </w:rPr>
              <w:t>Buprenorphine treatment</w:t>
            </w:r>
          </w:p>
        </w:tc>
        <w:tc>
          <w:tcPr>
            <w:tcW w:w="1555" w:type="dxa"/>
            <w:shd w:val="clear" w:color="auto" w:fill="FFFFFF"/>
            <w:tcMar>
              <w:left w:w="19" w:type="dxa"/>
              <w:right w:w="19" w:type="dxa"/>
            </w:tcMar>
          </w:tcPr>
          <w:p w14:paraId="7F4072F3" w14:textId="77777777" w:rsidR="004F544A" w:rsidRPr="007D05CD" w:rsidRDefault="004F544A" w:rsidP="004F544A">
            <w:pPr>
              <w:keepNext/>
              <w:adjustRightInd w:val="0"/>
              <w:spacing w:before="19" w:after="19"/>
              <w:jc w:val="center"/>
              <w:rPr>
                <w:rFonts w:ascii="Arial" w:hAnsi="Arial" w:cs="Arial"/>
                <w:color w:val="000000"/>
                <w:sz w:val="16"/>
                <w:szCs w:val="16"/>
              </w:rPr>
            </w:pPr>
          </w:p>
        </w:tc>
        <w:tc>
          <w:tcPr>
            <w:tcW w:w="1632" w:type="dxa"/>
            <w:shd w:val="clear" w:color="auto" w:fill="FFFFFF"/>
          </w:tcPr>
          <w:p w14:paraId="0816414A" w14:textId="77777777" w:rsidR="004F544A" w:rsidRPr="007D05CD" w:rsidRDefault="004F544A" w:rsidP="004F544A">
            <w:pPr>
              <w:keepNext/>
              <w:adjustRightInd w:val="0"/>
              <w:spacing w:before="19" w:after="19"/>
              <w:jc w:val="center"/>
              <w:rPr>
                <w:rFonts w:ascii="Arial" w:hAnsi="Arial" w:cs="Arial"/>
                <w:color w:val="000000"/>
                <w:sz w:val="16"/>
                <w:szCs w:val="16"/>
              </w:rPr>
            </w:pPr>
          </w:p>
        </w:tc>
        <w:tc>
          <w:tcPr>
            <w:tcW w:w="1260" w:type="dxa"/>
            <w:shd w:val="clear" w:color="auto" w:fill="FFFFFF"/>
          </w:tcPr>
          <w:p w14:paraId="6686BF6C" w14:textId="4B654BB5" w:rsidR="004F544A" w:rsidRPr="007D05CD" w:rsidRDefault="004F544A" w:rsidP="004F544A">
            <w:pPr>
              <w:keepNext/>
              <w:adjustRightInd w:val="0"/>
              <w:spacing w:before="19" w:after="19"/>
              <w:jc w:val="center"/>
              <w:rPr>
                <w:rFonts w:ascii="Arial" w:hAnsi="Arial" w:cs="Arial"/>
                <w:color w:val="000000"/>
                <w:sz w:val="16"/>
                <w:szCs w:val="16"/>
              </w:rPr>
            </w:pPr>
          </w:p>
        </w:tc>
      </w:tr>
      <w:tr w:rsidR="002F3D2C" w:rsidRPr="007D05CD" w14:paraId="1A8E52AC" w14:textId="77777777" w:rsidTr="002F3D2C">
        <w:trPr>
          <w:gridAfter w:val="1"/>
          <w:wAfter w:w="7" w:type="dxa"/>
          <w:cantSplit/>
        </w:trPr>
        <w:tc>
          <w:tcPr>
            <w:tcW w:w="3930" w:type="dxa"/>
            <w:shd w:val="clear" w:color="auto" w:fill="FFFFFF"/>
            <w:tcMar>
              <w:left w:w="19" w:type="dxa"/>
              <w:right w:w="19" w:type="dxa"/>
            </w:tcMar>
          </w:tcPr>
          <w:p w14:paraId="4FF944CE" w14:textId="55C4B304"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Pre-index or post-index period</w:t>
            </w:r>
            <w:r>
              <w:rPr>
                <w:rFonts w:ascii="Arial" w:hAnsi="Arial" w:cs="Arial"/>
                <w:color w:val="000000"/>
                <w:sz w:val="16"/>
                <w:szCs w:val="16"/>
              </w:rPr>
              <w:t xml:space="preserve"> (N)</w:t>
            </w:r>
          </w:p>
        </w:tc>
        <w:tc>
          <w:tcPr>
            <w:tcW w:w="1555" w:type="dxa"/>
            <w:shd w:val="clear" w:color="auto" w:fill="FFFFFF"/>
            <w:tcMar>
              <w:left w:w="19" w:type="dxa"/>
              <w:right w:w="19" w:type="dxa"/>
            </w:tcMar>
          </w:tcPr>
          <w:p w14:paraId="28D17DD6"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716</w:t>
            </w:r>
          </w:p>
        </w:tc>
        <w:tc>
          <w:tcPr>
            <w:tcW w:w="1632" w:type="dxa"/>
            <w:shd w:val="clear" w:color="auto" w:fill="FFFFFF"/>
          </w:tcPr>
          <w:p w14:paraId="405F2F89" w14:textId="730BCF06"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665</w:t>
            </w:r>
          </w:p>
        </w:tc>
        <w:tc>
          <w:tcPr>
            <w:tcW w:w="1260" w:type="dxa"/>
            <w:shd w:val="clear" w:color="auto" w:fill="FFFFFF"/>
          </w:tcPr>
          <w:p w14:paraId="07D53CE8" w14:textId="58D361E3" w:rsidR="004F544A" w:rsidRDefault="004F544A" w:rsidP="004F544A">
            <w:pPr>
              <w:keepNext/>
              <w:adjustRightInd w:val="0"/>
              <w:spacing w:before="19" w:after="19"/>
              <w:jc w:val="center"/>
              <w:rPr>
                <w:rFonts w:ascii="Arial" w:hAnsi="Arial" w:cs="Arial"/>
                <w:color w:val="000000"/>
                <w:sz w:val="16"/>
                <w:szCs w:val="16"/>
              </w:rPr>
            </w:pPr>
          </w:p>
        </w:tc>
      </w:tr>
      <w:tr w:rsidR="002F3D2C" w:rsidRPr="007D05CD" w14:paraId="042D29FE" w14:textId="77777777" w:rsidTr="002F3D2C">
        <w:trPr>
          <w:gridAfter w:val="1"/>
          <w:wAfter w:w="7" w:type="dxa"/>
          <w:cantSplit/>
          <w:trHeight w:val="233"/>
        </w:trPr>
        <w:tc>
          <w:tcPr>
            <w:tcW w:w="3930" w:type="dxa"/>
            <w:shd w:val="clear" w:color="auto" w:fill="FFFFFF"/>
            <w:tcMar>
              <w:left w:w="19" w:type="dxa"/>
              <w:right w:w="19" w:type="dxa"/>
            </w:tcMar>
          </w:tcPr>
          <w:p w14:paraId="48084A70" w14:textId="30FE1F85"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Post-index period, n (%)</w:t>
            </w:r>
          </w:p>
        </w:tc>
        <w:tc>
          <w:tcPr>
            <w:tcW w:w="1555" w:type="dxa"/>
            <w:shd w:val="clear" w:color="auto" w:fill="FFFFFF"/>
            <w:tcMar>
              <w:left w:w="19" w:type="dxa"/>
              <w:right w:w="19" w:type="dxa"/>
            </w:tcMar>
          </w:tcPr>
          <w:p w14:paraId="011C76BE"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637</w:t>
            </w:r>
            <w:r w:rsidRPr="007D05CD">
              <w:rPr>
                <w:rFonts w:ascii="Arial" w:hAnsi="Arial" w:cs="Arial"/>
                <w:color w:val="000000"/>
                <w:sz w:val="16"/>
                <w:szCs w:val="16"/>
              </w:rPr>
              <w:t xml:space="preserve"> (9</w:t>
            </w:r>
            <w:r>
              <w:rPr>
                <w:rFonts w:ascii="Arial" w:hAnsi="Arial" w:cs="Arial"/>
                <w:color w:val="000000"/>
                <w:sz w:val="16"/>
                <w:szCs w:val="16"/>
              </w:rPr>
              <w:t>5</w:t>
            </w:r>
            <w:r w:rsidRPr="007D05CD">
              <w:rPr>
                <w:rFonts w:ascii="Arial" w:hAnsi="Arial" w:cs="Arial"/>
                <w:color w:val="000000"/>
                <w:sz w:val="16"/>
                <w:szCs w:val="16"/>
              </w:rPr>
              <w:t>.</w:t>
            </w:r>
            <w:r>
              <w:rPr>
                <w:rFonts w:ascii="Arial" w:hAnsi="Arial" w:cs="Arial"/>
                <w:color w:val="000000"/>
                <w:sz w:val="16"/>
                <w:szCs w:val="16"/>
              </w:rPr>
              <w:t>8</w:t>
            </w:r>
            <w:r w:rsidRPr="007D05CD">
              <w:rPr>
                <w:rFonts w:ascii="Arial" w:hAnsi="Arial" w:cs="Arial"/>
                <w:color w:val="000000"/>
                <w:sz w:val="16"/>
                <w:szCs w:val="16"/>
              </w:rPr>
              <w:t>%)</w:t>
            </w:r>
          </w:p>
        </w:tc>
        <w:tc>
          <w:tcPr>
            <w:tcW w:w="1632" w:type="dxa"/>
            <w:shd w:val="clear" w:color="auto" w:fill="FFFFFF"/>
          </w:tcPr>
          <w:p w14:paraId="4B1F4198" w14:textId="27120321"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680</w:t>
            </w:r>
            <w:r w:rsidRPr="007D05CD">
              <w:rPr>
                <w:rFonts w:ascii="Arial" w:hAnsi="Arial" w:cs="Arial"/>
                <w:color w:val="000000"/>
                <w:sz w:val="16"/>
                <w:szCs w:val="16"/>
              </w:rPr>
              <w:t xml:space="preserve"> (9</w:t>
            </w:r>
            <w:r>
              <w:rPr>
                <w:rFonts w:ascii="Arial" w:hAnsi="Arial" w:cs="Arial"/>
                <w:color w:val="000000"/>
                <w:sz w:val="16"/>
                <w:szCs w:val="16"/>
              </w:rPr>
              <w:t>5</w:t>
            </w:r>
            <w:r w:rsidRPr="007D05CD">
              <w:rPr>
                <w:rFonts w:ascii="Arial" w:hAnsi="Arial" w:cs="Arial"/>
                <w:color w:val="000000"/>
                <w:sz w:val="16"/>
                <w:szCs w:val="16"/>
              </w:rPr>
              <w:t>.</w:t>
            </w:r>
            <w:r>
              <w:rPr>
                <w:rFonts w:ascii="Arial" w:hAnsi="Arial" w:cs="Arial"/>
                <w:color w:val="000000"/>
                <w:sz w:val="16"/>
                <w:szCs w:val="16"/>
              </w:rPr>
              <w:t>8</w:t>
            </w:r>
            <w:r w:rsidRPr="007D05CD">
              <w:rPr>
                <w:rFonts w:ascii="Arial" w:hAnsi="Arial" w:cs="Arial"/>
                <w:color w:val="000000"/>
                <w:sz w:val="16"/>
                <w:szCs w:val="16"/>
              </w:rPr>
              <w:t>%)</w:t>
            </w:r>
          </w:p>
        </w:tc>
        <w:tc>
          <w:tcPr>
            <w:tcW w:w="1260" w:type="dxa"/>
            <w:shd w:val="clear" w:color="auto" w:fill="FFFFFF"/>
          </w:tcPr>
          <w:p w14:paraId="3C041883" w14:textId="1EAF6E18"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0.133</w:t>
            </w:r>
          </w:p>
        </w:tc>
      </w:tr>
      <w:tr w:rsidR="002F3D2C" w:rsidRPr="007D05CD" w14:paraId="23892316" w14:textId="77777777" w:rsidTr="002F3D2C">
        <w:trPr>
          <w:gridAfter w:val="1"/>
          <w:wAfter w:w="7" w:type="dxa"/>
          <w:cantSplit/>
        </w:trPr>
        <w:tc>
          <w:tcPr>
            <w:tcW w:w="3930" w:type="dxa"/>
            <w:shd w:val="clear" w:color="auto" w:fill="FFFFFF"/>
            <w:tcMar>
              <w:left w:w="19" w:type="dxa"/>
              <w:right w:w="19" w:type="dxa"/>
            </w:tcMar>
          </w:tcPr>
          <w:p w14:paraId="3C6BD23B" w14:textId="45D732E8" w:rsidR="004F544A" w:rsidRPr="007D05CD" w:rsidRDefault="004F544A" w:rsidP="004F544A">
            <w:pPr>
              <w:keepNext/>
              <w:adjustRightInd w:val="0"/>
              <w:spacing w:before="19" w:after="19"/>
              <w:rPr>
                <w:rFonts w:ascii="Arial" w:hAnsi="Arial" w:cs="Arial"/>
                <w:color w:val="000000"/>
                <w:sz w:val="16"/>
                <w:szCs w:val="16"/>
              </w:rPr>
            </w:pPr>
            <w:r w:rsidRPr="007D05CD">
              <w:rPr>
                <w:rFonts w:ascii="Arial" w:hAnsi="Arial" w:cs="Arial"/>
                <w:color w:val="000000"/>
                <w:sz w:val="16"/>
                <w:szCs w:val="16"/>
              </w:rPr>
              <w:t xml:space="preserve">  Pre-index period, n (%)</w:t>
            </w:r>
          </w:p>
        </w:tc>
        <w:tc>
          <w:tcPr>
            <w:tcW w:w="1555" w:type="dxa"/>
            <w:shd w:val="clear" w:color="auto" w:fill="FFFFFF"/>
            <w:tcMar>
              <w:left w:w="19" w:type="dxa"/>
              <w:right w:w="19" w:type="dxa"/>
            </w:tcMar>
          </w:tcPr>
          <w:p w14:paraId="0F6CFC7A"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 xml:space="preserve">686 </w:t>
            </w:r>
            <w:r w:rsidRPr="007D05CD">
              <w:rPr>
                <w:rFonts w:ascii="Arial" w:hAnsi="Arial" w:cs="Arial"/>
                <w:color w:val="000000"/>
                <w:sz w:val="16"/>
                <w:szCs w:val="16"/>
              </w:rPr>
              <w:t>(95.</w:t>
            </w:r>
            <w:r>
              <w:rPr>
                <w:rFonts w:ascii="Arial" w:hAnsi="Arial" w:cs="Arial"/>
                <w:color w:val="000000"/>
                <w:sz w:val="16"/>
                <w:szCs w:val="16"/>
              </w:rPr>
              <w:t>8</w:t>
            </w:r>
            <w:r w:rsidRPr="007D05CD">
              <w:rPr>
                <w:rFonts w:ascii="Arial" w:hAnsi="Arial" w:cs="Arial"/>
                <w:color w:val="000000"/>
                <w:sz w:val="16"/>
                <w:szCs w:val="16"/>
              </w:rPr>
              <w:t>%)</w:t>
            </w:r>
          </w:p>
        </w:tc>
        <w:tc>
          <w:tcPr>
            <w:tcW w:w="1632" w:type="dxa"/>
            <w:shd w:val="clear" w:color="auto" w:fill="FFFFFF"/>
          </w:tcPr>
          <w:p w14:paraId="50592101" w14:textId="790EDCD4"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647</w:t>
            </w:r>
            <w:r w:rsidRPr="007D05CD">
              <w:rPr>
                <w:rFonts w:ascii="Arial" w:hAnsi="Arial" w:cs="Arial"/>
                <w:color w:val="000000"/>
                <w:sz w:val="16"/>
                <w:szCs w:val="16"/>
              </w:rPr>
              <w:t xml:space="preserve"> (97.</w:t>
            </w:r>
            <w:r>
              <w:rPr>
                <w:rFonts w:ascii="Arial" w:hAnsi="Arial" w:cs="Arial"/>
                <w:color w:val="000000"/>
                <w:sz w:val="16"/>
                <w:szCs w:val="16"/>
              </w:rPr>
              <w:t>3</w:t>
            </w:r>
            <w:r w:rsidRPr="007D05CD">
              <w:rPr>
                <w:rFonts w:ascii="Arial" w:hAnsi="Arial" w:cs="Arial"/>
                <w:color w:val="000000"/>
                <w:sz w:val="16"/>
                <w:szCs w:val="16"/>
              </w:rPr>
              <w:t>%)</w:t>
            </w:r>
          </w:p>
        </w:tc>
        <w:tc>
          <w:tcPr>
            <w:tcW w:w="1260" w:type="dxa"/>
            <w:shd w:val="clear" w:color="auto" w:fill="FFFFFF"/>
          </w:tcPr>
          <w:p w14:paraId="631E7C08" w14:textId="09244AE0"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0.470</w:t>
            </w:r>
          </w:p>
        </w:tc>
      </w:tr>
      <w:tr w:rsidR="002F3D2C" w:rsidRPr="007D05CD" w14:paraId="496632EB" w14:textId="77777777" w:rsidTr="002F3D2C">
        <w:trPr>
          <w:gridAfter w:val="1"/>
          <w:wAfter w:w="7" w:type="dxa"/>
          <w:cantSplit/>
        </w:trPr>
        <w:tc>
          <w:tcPr>
            <w:tcW w:w="3930" w:type="dxa"/>
            <w:shd w:val="clear" w:color="auto" w:fill="FFFFFF"/>
            <w:tcMar>
              <w:left w:w="19" w:type="dxa"/>
              <w:right w:w="19" w:type="dxa"/>
            </w:tcMar>
          </w:tcPr>
          <w:p w14:paraId="173412C1" w14:textId="2A4F1357" w:rsidR="004F544A" w:rsidRPr="007D05CD" w:rsidRDefault="004F544A" w:rsidP="004F544A">
            <w:pPr>
              <w:keepNext/>
              <w:adjustRightInd w:val="0"/>
              <w:spacing w:before="19" w:after="19"/>
              <w:jc w:val="center"/>
              <w:rPr>
                <w:rFonts w:ascii="Arial" w:hAnsi="Arial" w:cs="Arial"/>
                <w:color w:val="000000"/>
                <w:sz w:val="16"/>
                <w:szCs w:val="16"/>
              </w:rPr>
            </w:pPr>
            <w:r w:rsidRPr="007D05CD">
              <w:rPr>
                <w:rFonts w:ascii="Arial" w:hAnsi="Arial" w:cs="Arial"/>
                <w:color w:val="000000"/>
                <w:sz w:val="16"/>
                <w:szCs w:val="16"/>
              </w:rPr>
              <w:t xml:space="preserve">  Both pre-index and post-index periods, n (%)</w:t>
            </w:r>
          </w:p>
        </w:tc>
        <w:tc>
          <w:tcPr>
            <w:tcW w:w="1555" w:type="dxa"/>
            <w:shd w:val="clear" w:color="auto" w:fill="FFFFFF"/>
            <w:tcMar>
              <w:left w:w="19" w:type="dxa"/>
              <w:right w:w="19" w:type="dxa"/>
            </w:tcMar>
          </w:tcPr>
          <w:p w14:paraId="43C02B50" w14:textId="77777777" w:rsidR="004F544A" w:rsidRPr="007D05CD"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650</w:t>
            </w:r>
            <w:r w:rsidRPr="007D05CD">
              <w:rPr>
                <w:rFonts w:ascii="Arial" w:hAnsi="Arial" w:cs="Arial"/>
                <w:color w:val="000000"/>
                <w:sz w:val="16"/>
                <w:szCs w:val="16"/>
              </w:rPr>
              <w:t xml:space="preserve"> (9</w:t>
            </w:r>
            <w:r>
              <w:rPr>
                <w:rFonts w:ascii="Arial" w:hAnsi="Arial" w:cs="Arial"/>
                <w:color w:val="000000"/>
                <w:sz w:val="16"/>
                <w:szCs w:val="16"/>
              </w:rPr>
              <w:t>0</w:t>
            </w:r>
            <w:r w:rsidRPr="007D05CD">
              <w:rPr>
                <w:rFonts w:ascii="Arial" w:hAnsi="Arial" w:cs="Arial"/>
                <w:color w:val="000000"/>
                <w:sz w:val="16"/>
                <w:szCs w:val="16"/>
              </w:rPr>
              <w:t>.8%)</w:t>
            </w:r>
          </w:p>
        </w:tc>
        <w:tc>
          <w:tcPr>
            <w:tcW w:w="1632" w:type="dxa"/>
            <w:shd w:val="clear" w:color="auto" w:fill="FFFFFF"/>
          </w:tcPr>
          <w:p w14:paraId="62B4BC90" w14:textId="4A3ABB09"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619</w:t>
            </w:r>
            <w:r w:rsidRPr="007D05CD">
              <w:rPr>
                <w:rFonts w:ascii="Arial" w:hAnsi="Arial" w:cs="Arial"/>
                <w:color w:val="000000"/>
                <w:sz w:val="16"/>
                <w:szCs w:val="16"/>
              </w:rPr>
              <w:t xml:space="preserve"> (9</w:t>
            </w:r>
            <w:r>
              <w:rPr>
                <w:rFonts w:ascii="Arial" w:hAnsi="Arial" w:cs="Arial"/>
                <w:color w:val="000000"/>
                <w:sz w:val="16"/>
                <w:szCs w:val="16"/>
              </w:rPr>
              <w:t>3</w:t>
            </w:r>
            <w:r w:rsidRPr="007D05CD">
              <w:rPr>
                <w:rFonts w:ascii="Arial" w:hAnsi="Arial" w:cs="Arial"/>
                <w:color w:val="000000"/>
                <w:sz w:val="16"/>
                <w:szCs w:val="16"/>
              </w:rPr>
              <w:t>.</w:t>
            </w:r>
            <w:r>
              <w:rPr>
                <w:rFonts w:ascii="Arial" w:hAnsi="Arial" w:cs="Arial"/>
                <w:color w:val="000000"/>
                <w:sz w:val="16"/>
                <w:szCs w:val="16"/>
              </w:rPr>
              <w:t>1</w:t>
            </w:r>
            <w:r w:rsidRPr="007D05CD">
              <w:rPr>
                <w:rFonts w:ascii="Arial" w:hAnsi="Arial" w:cs="Arial"/>
                <w:color w:val="000000"/>
                <w:sz w:val="16"/>
                <w:szCs w:val="16"/>
              </w:rPr>
              <w:t>%)</w:t>
            </w:r>
          </w:p>
        </w:tc>
        <w:tc>
          <w:tcPr>
            <w:tcW w:w="1260" w:type="dxa"/>
            <w:shd w:val="clear" w:color="auto" w:fill="FFFFFF"/>
          </w:tcPr>
          <w:p w14:paraId="3E4A748E" w14:textId="065414F5" w:rsidR="004F544A" w:rsidRDefault="004F544A" w:rsidP="004F544A">
            <w:pPr>
              <w:keepNext/>
              <w:adjustRightInd w:val="0"/>
              <w:spacing w:before="19" w:after="19"/>
              <w:jc w:val="center"/>
              <w:rPr>
                <w:rFonts w:ascii="Arial" w:hAnsi="Arial" w:cs="Arial"/>
                <w:color w:val="000000"/>
                <w:sz w:val="16"/>
                <w:szCs w:val="16"/>
              </w:rPr>
            </w:pPr>
            <w:r>
              <w:rPr>
                <w:rFonts w:ascii="Arial" w:hAnsi="Arial" w:cs="Arial"/>
                <w:color w:val="000000"/>
                <w:sz w:val="16"/>
                <w:szCs w:val="16"/>
              </w:rPr>
              <w:t>0.118</w:t>
            </w:r>
          </w:p>
        </w:tc>
      </w:tr>
      <w:tr w:rsidR="002F3D2C" w:rsidRPr="007D05CD" w14:paraId="519F5CCB" w14:textId="77777777" w:rsidTr="002F3D2C">
        <w:trPr>
          <w:cantSplit/>
        </w:trPr>
        <w:tc>
          <w:tcPr>
            <w:tcW w:w="8384" w:type="dxa"/>
            <w:gridSpan w:val="5"/>
            <w:shd w:val="clear" w:color="auto" w:fill="FFFFFF"/>
            <w:tcMar>
              <w:left w:w="19" w:type="dxa"/>
              <w:right w:w="19" w:type="dxa"/>
            </w:tcMar>
          </w:tcPr>
          <w:p w14:paraId="7FC55D75" w14:textId="3E7DE632" w:rsidR="004F544A" w:rsidDel="00F070D1" w:rsidRDefault="004F544A" w:rsidP="004F544A">
            <w:pPr>
              <w:keepNext/>
              <w:adjustRightInd w:val="0"/>
              <w:spacing w:before="19" w:after="19"/>
              <w:rPr>
                <w:rFonts w:ascii="Arial" w:hAnsi="Arial" w:cs="Arial"/>
                <w:color w:val="000000"/>
                <w:sz w:val="16"/>
                <w:szCs w:val="16"/>
              </w:rPr>
            </w:pPr>
            <w:r>
              <w:rPr>
                <w:rFonts w:ascii="Arial" w:hAnsi="Arial" w:cs="Arial"/>
                <w:color w:val="000000"/>
                <w:sz w:val="16"/>
                <w:szCs w:val="16"/>
              </w:rPr>
              <w:t>SD: standard deviation</w:t>
            </w:r>
          </w:p>
        </w:tc>
      </w:tr>
    </w:tbl>
    <w:p w14:paraId="4D573C9E" w14:textId="594B15DE" w:rsidR="00724927" w:rsidRDefault="00724927" w:rsidP="00D83C99">
      <w:pPr>
        <w:rPr>
          <w:bCs/>
        </w:rPr>
      </w:pPr>
    </w:p>
    <w:p w14:paraId="3092D7C4" w14:textId="77777777" w:rsidR="00724927" w:rsidRDefault="00724927" w:rsidP="00D83C99">
      <w:pPr>
        <w:rPr>
          <w:bCs/>
        </w:rPr>
      </w:pPr>
    </w:p>
    <w:p w14:paraId="29745868" w14:textId="77777777" w:rsidR="008870FA" w:rsidRDefault="008870FA" w:rsidP="00D83C99">
      <w:pPr>
        <w:rPr>
          <w:bCs/>
        </w:rPr>
      </w:pPr>
    </w:p>
    <w:p w14:paraId="53B2B46F" w14:textId="77777777" w:rsidR="00724927" w:rsidRDefault="00724927" w:rsidP="00D83C99">
      <w:pPr>
        <w:rPr>
          <w:b/>
        </w:rPr>
      </w:pPr>
    </w:p>
    <w:p w14:paraId="1E777E25" w14:textId="77777777" w:rsidR="00724927" w:rsidRDefault="00724927" w:rsidP="00D83C99">
      <w:pPr>
        <w:rPr>
          <w:b/>
        </w:rPr>
      </w:pPr>
    </w:p>
    <w:p w14:paraId="3E444801" w14:textId="77777777" w:rsidR="00724927" w:rsidRDefault="00724927" w:rsidP="00D83C99">
      <w:pPr>
        <w:rPr>
          <w:b/>
        </w:rPr>
      </w:pPr>
    </w:p>
    <w:p w14:paraId="7AFB5FF4" w14:textId="77777777" w:rsidR="00724927" w:rsidRDefault="00724927" w:rsidP="00D83C99">
      <w:pPr>
        <w:rPr>
          <w:b/>
        </w:rPr>
      </w:pPr>
    </w:p>
    <w:p w14:paraId="124E2AA9" w14:textId="77777777" w:rsidR="00724927" w:rsidRDefault="00724927" w:rsidP="00D83C99">
      <w:pPr>
        <w:rPr>
          <w:b/>
        </w:rPr>
      </w:pPr>
    </w:p>
    <w:p w14:paraId="124ACC17" w14:textId="77777777" w:rsidR="00724927" w:rsidRDefault="00724927" w:rsidP="00D83C99">
      <w:pPr>
        <w:rPr>
          <w:b/>
        </w:rPr>
      </w:pPr>
    </w:p>
    <w:p w14:paraId="1D91F51F" w14:textId="77777777" w:rsidR="00724927" w:rsidRDefault="00724927" w:rsidP="00D83C99">
      <w:pPr>
        <w:rPr>
          <w:b/>
        </w:rPr>
      </w:pPr>
    </w:p>
    <w:p w14:paraId="469012E5" w14:textId="77777777" w:rsidR="00724927" w:rsidRDefault="00724927" w:rsidP="00D83C99">
      <w:pPr>
        <w:rPr>
          <w:b/>
        </w:rPr>
      </w:pPr>
    </w:p>
    <w:p w14:paraId="027E234C" w14:textId="77777777" w:rsidR="00724927" w:rsidRDefault="00724927" w:rsidP="00D83C99">
      <w:pPr>
        <w:rPr>
          <w:b/>
        </w:rPr>
      </w:pPr>
    </w:p>
    <w:p w14:paraId="74D3A2C0" w14:textId="77777777" w:rsidR="00724927" w:rsidRDefault="00724927" w:rsidP="00D83C99">
      <w:pPr>
        <w:rPr>
          <w:b/>
        </w:rPr>
      </w:pPr>
    </w:p>
    <w:p w14:paraId="0954E109" w14:textId="77777777" w:rsidR="00724927" w:rsidRDefault="00724927" w:rsidP="00D83C99">
      <w:pPr>
        <w:rPr>
          <w:b/>
        </w:rPr>
      </w:pPr>
    </w:p>
    <w:p w14:paraId="2B9E7F4E" w14:textId="77777777" w:rsidR="00724927" w:rsidRDefault="00724927" w:rsidP="00D83C99">
      <w:pPr>
        <w:rPr>
          <w:b/>
        </w:rPr>
      </w:pPr>
    </w:p>
    <w:p w14:paraId="5DEBDA7F" w14:textId="77777777" w:rsidR="00724927" w:rsidRDefault="00724927" w:rsidP="00D83C99">
      <w:pPr>
        <w:rPr>
          <w:b/>
        </w:rPr>
      </w:pPr>
    </w:p>
    <w:p w14:paraId="5FF8A929" w14:textId="77777777" w:rsidR="00724927" w:rsidRDefault="00724927" w:rsidP="00D83C99">
      <w:pPr>
        <w:rPr>
          <w:b/>
        </w:rPr>
      </w:pPr>
    </w:p>
    <w:p w14:paraId="33469E91" w14:textId="77777777" w:rsidR="00724927" w:rsidRDefault="00724927" w:rsidP="00D83C99">
      <w:pPr>
        <w:rPr>
          <w:b/>
        </w:rPr>
      </w:pPr>
    </w:p>
    <w:p w14:paraId="48338235" w14:textId="77777777" w:rsidR="00724927" w:rsidRDefault="00724927" w:rsidP="00D83C99">
      <w:pPr>
        <w:rPr>
          <w:b/>
        </w:rPr>
      </w:pPr>
    </w:p>
    <w:p w14:paraId="409F0685" w14:textId="77777777" w:rsidR="00724927" w:rsidRDefault="00724927" w:rsidP="00D83C99">
      <w:pPr>
        <w:rPr>
          <w:b/>
        </w:rPr>
      </w:pPr>
    </w:p>
    <w:p w14:paraId="6F6E4B87" w14:textId="77777777" w:rsidR="00724927" w:rsidRDefault="00724927" w:rsidP="00D83C99">
      <w:pPr>
        <w:rPr>
          <w:b/>
        </w:rPr>
      </w:pPr>
    </w:p>
    <w:p w14:paraId="1F86E4AE" w14:textId="77777777" w:rsidR="00724927" w:rsidRDefault="00724927" w:rsidP="00D83C99">
      <w:pPr>
        <w:rPr>
          <w:b/>
        </w:rPr>
      </w:pPr>
    </w:p>
    <w:p w14:paraId="345FE00F" w14:textId="77777777" w:rsidR="00724927" w:rsidRDefault="00724927" w:rsidP="00D83C99">
      <w:pPr>
        <w:rPr>
          <w:b/>
        </w:rPr>
      </w:pPr>
    </w:p>
    <w:p w14:paraId="47FBC8A1" w14:textId="77777777" w:rsidR="00724927" w:rsidRDefault="00724927" w:rsidP="00D83C99">
      <w:pPr>
        <w:rPr>
          <w:b/>
        </w:rPr>
      </w:pPr>
    </w:p>
    <w:p w14:paraId="06224DCD" w14:textId="77777777" w:rsidR="00724927" w:rsidRDefault="00724927" w:rsidP="00D83C99">
      <w:pPr>
        <w:rPr>
          <w:b/>
        </w:rPr>
      </w:pPr>
    </w:p>
    <w:p w14:paraId="2EE5CE32" w14:textId="77777777" w:rsidR="00724927" w:rsidRDefault="00724927" w:rsidP="00D83C99">
      <w:pPr>
        <w:rPr>
          <w:b/>
        </w:rPr>
      </w:pPr>
    </w:p>
    <w:p w14:paraId="38388487" w14:textId="77777777" w:rsidR="00724927" w:rsidRDefault="00724927" w:rsidP="00D83C99">
      <w:pPr>
        <w:rPr>
          <w:b/>
        </w:rPr>
      </w:pPr>
    </w:p>
    <w:p w14:paraId="7311BFF5" w14:textId="20C068AA" w:rsidR="00F419ED" w:rsidRDefault="00F419ED" w:rsidP="00D83C99">
      <w:pPr>
        <w:rPr>
          <w:b/>
        </w:rPr>
      </w:pPr>
      <w:r w:rsidRPr="00F419ED">
        <w:rPr>
          <w:b/>
        </w:rPr>
        <w:t xml:space="preserve">Table </w:t>
      </w:r>
      <w:r w:rsidR="00C760BE">
        <w:rPr>
          <w:b/>
        </w:rPr>
        <w:t>2</w:t>
      </w:r>
      <w:r w:rsidRPr="00F419ED">
        <w:rPr>
          <w:b/>
        </w:rPr>
        <w:t>. reSET-O comparative analysis of hospital facilities services over 12 months</w:t>
      </w:r>
    </w:p>
    <w:tbl>
      <w:tblPr>
        <w:tblpPr w:leftFromText="180" w:rightFromText="180" w:vertAnchor="text" w:horzAnchor="margin" w:tblpXSpec="center" w:tblpY="270"/>
        <w:tblW w:w="9719" w:type="dxa"/>
        <w:tblLayout w:type="fixed"/>
        <w:tblCellMar>
          <w:left w:w="0" w:type="dxa"/>
          <w:right w:w="0" w:type="dxa"/>
        </w:tblCellMar>
        <w:tblLook w:val="0000" w:firstRow="0" w:lastRow="0" w:firstColumn="0" w:lastColumn="0" w:noHBand="0" w:noVBand="0"/>
      </w:tblPr>
      <w:tblGrid>
        <w:gridCol w:w="2016"/>
        <w:gridCol w:w="969"/>
        <w:gridCol w:w="795"/>
        <w:gridCol w:w="1085"/>
        <w:gridCol w:w="931"/>
        <w:gridCol w:w="813"/>
        <w:gridCol w:w="1071"/>
        <w:gridCol w:w="523"/>
        <w:gridCol w:w="917"/>
        <w:gridCol w:w="599"/>
      </w:tblGrid>
      <w:tr w:rsidR="003313DF" w:rsidRPr="004526A7" w14:paraId="4560EBA6"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70726C25" w14:textId="77777777" w:rsidR="003313DF" w:rsidRPr="004526A7" w:rsidRDefault="003313DF" w:rsidP="003313DF">
            <w:pPr>
              <w:keepNext/>
              <w:adjustRightInd w:val="0"/>
              <w:spacing w:before="19" w:after="19"/>
              <w:jc w:val="center"/>
              <w:rPr>
                <w:rFonts w:ascii="Arial" w:hAnsi="Arial" w:cs="Arial"/>
                <w:b/>
                <w:bCs/>
                <w:color w:val="000000"/>
                <w:sz w:val="16"/>
                <w:szCs w:val="16"/>
              </w:rPr>
            </w:pPr>
          </w:p>
        </w:tc>
        <w:tc>
          <w:tcPr>
            <w:tcW w:w="2849" w:type="dxa"/>
            <w:gridSpan w:val="3"/>
            <w:tcBorders>
              <w:top w:val="nil"/>
              <w:left w:val="nil"/>
              <w:bottom w:val="nil"/>
              <w:right w:val="nil"/>
            </w:tcBorders>
            <w:shd w:val="clear" w:color="auto" w:fill="FFFFFF"/>
            <w:tcMar>
              <w:left w:w="19" w:type="dxa"/>
              <w:right w:w="19" w:type="dxa"/>
            </w:tcMar>
          </w:tcPr>
          <w:p w14:paraId="70ABC6F7"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Control cohort</w:t>
            </w:r>
            <w:r w:rsidRPr="004526A7">
              <w:rPr>
                <w:rFonts w:ascii="Arial" w:hAnsi="Arial" w:cs="Arial"/>
                <w:b/>
                <w:bCs/>
                <w:color w:val="000000"/>
                <w:sz w:val="16"/>
                <w:szCs w:val="16"/>
              </w:rPr>
              <w:br/>
              <w:t>(N=</w:t>
            </w:r>
            <w:r>
              <w:rPr>
                <w:rFonts w:ascii="Arial" w:hAnsi="Arial" w:cs="Arial"/>
                <w:b/>
                <w:bCs/>
                <w:color w:val="000000"/>
                <w:sz w:val="16"/>
                <w:szCs w:val="16"/>
              </w:rPr>
              <w:t>978</w:t>
            </w:r>
            <w:r w:rsidRPr="004526A7">
              <w:rPr>
                <w:rFonts w:ascii="Arial" w:hAnsi="Arial" w:cs="Arial"/>
                <w:b/>
                <w:bCs/>
                <w:color w:val="000000"/>
                <w:sz w:val="16"/>
                <w:szCs w:val="16"/>
              </w:rPr>
              <w:t>)</w:t>
            </w:r>
          </w:p>
        </w:tc>
        <w:tc>
          <w:tcPr>
            <w:tcW w:w="2815" w:type="dxa"/>
            <w:gridSpan w:val="3"/>
            <w:tcBorders>
              <w:top w:val="nil"/>
              <w:left w:val="nil"/>
              <w:bottom w:val="nil"/>
              <w:right w:val="nil"/>
            </w:tcBorders>
            <w:shd w:val="clear" w:color="auto" w:fill="FFFFFF"/>
            <w:tcMar>
              <w:left w:w="19" w:type="dxa"/>
              <w:right w:w="19" w:type="dxa"/>
            </w:tcMar>
          </w:tcPr>
          <w:p w14:paraId="08FCF7EE"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reSET-O cohort</w:t>
            </w:r>
            <w:r w:rsidRPr="004526A7">
              <w:rPr>
                <w:rFonts w:ascii="Arial" w:hAnsi="Arial" w:cs="Arial"/>
                <w:b/>
                <w:bCs/>
                <w:color w:val="000000"/>
                <w:sz w:val="16"/>
                <w:szCs w:val="16"/>
              </w:rPr>
              <w:br/>
              <w:t>(N=901)</w:t>
            </w:r>
          </w:p>
        </w:tc>
        <w:tc>
          <w:tcPr>
            <w:tcW w:w="2039" w:type="dxa"/>
            <w:gridSpan w:val="3"/>
            <w:tcBorders>
              <w:top w:val="nil"/>
              <w:left w:val="nil"/>
              <w:bottom w:val="nil"/>
              <w:right w:val="nil"/>
            </w:tcBorders>
            <w:shd w:val="clear" w:color="auto" w:fill="FFFFFF"/>
            <w:tcMar>
              <w:left w:w="19" w:type="dxa"/>
              <w:right w:w="19" w:type="dxa"/>
            </w:tcMar>
          </w:tcPr>
          <w:p w14:paraId="6BC02539" w14:textId="77777777" w:rsidR="003313DF" w:rsidRPr="004526A7" w:rsidRDefault="003313DF" w:rsidP="003313DF">
            <w:pPr>
              <w:keepNext/>
              <w:adjustRightInd w:val="0"/>
              <w:spacing w:before="19" w:after="19"/>
              <w:jc w:val="center"/>
              <w:rPr>
                <w:rFonts w:ascii="Arial" w:hAnsi="Arial" w:cs="Arial"/>
                <w:b/>
                <w:bCs/>
                <w:color w:val="000000"/>
                <w:sz w:val="16"/>
                <w:szCs w:val="16"/>
              </w:rPr>
            </w:pPr>
          </w:p>
        </w:tc>
      </w:tr>
      <w:tr w:rsidR="003313DF" w:rsidRPr="004526A7" w14:paraId="0FB3C886" w14:textId="77777777" w:rsidTr="003313DF">
        <w:trPr>
          <w:cantSplit/>
        </w:trPr>
        <w:tc>
          <w:tcPr>
            <w:tcW w:w="2016" w:type="dxa"/>
            <w:tcBorders>
              <w:top w:val="nil"/>
              <w:left w:val="nil"/>
              <w:bottom w:val="single" w:sz="8" w:space="0" w:color="000000"/>
              <w:right w:val="nil"/>
            </w:tcBorders>
            <w:shd w:val="clear" w:color="auto" w:fill="FFFFFF"/>
            <w:tcMar>
              <w:left w:w="19" w:type="dxa"/>
              <w:right w:w="19" w:type="dxa"/>
            </w:tcMar>
          </w:tcPr>
          <w:p w14:paraId="323D2788" w14:textId="77777777" w:rsidR="003313DF" w:rsidRPr="004526A7" w:rsidRDefault="003313DF" w:rsidP="003313DF">
            <w:pPr>
              <w:keepNext/>
              <w:adjustRightInd w:val="0"/>
              <w:spacing w:before="19" w:after="19"/>
              <w:rPr>
                <w:rFonts w:ascii="Arial" w:hAnsi="Arial" w:cs="Arial"/>
                <w:b/>
                <w:bCs/>
                <w:color w:val="000000"/>
                <w:sz w:val="16"/>
                <w:szCs w:val="16"/>
              </w:rPr>
            </w:pPr>
            <w:r w:rsidRPr="004526A7">
              <w:rPr>
                <w:rFonts w:ascii="Arial" w:hAnsi="Arial" w:cs="Arial"/>
                <w:b/>
                <w:bCs/>
                <w:color w:val="000000"/>
                <w:sz w:val="16"/>
                <w:szCs w:val="16"/>
              </w:rPr>
              <w:t>Resource</w:t>
            </w:r>
          </w:p>
        </w:tc>
        <w:tc>
          <w:tcPr>
            <w:tcW w:w="969" w:type="dxa"/>
            <w:tcBorders>
              <w:top w:val="nil"/>
              <w:left w:val="nil"/>
              <w:bottom w:val="single" w:sz="8" w:space="0" w:color="000000"/>
              <w:right w:val="nil"/>
            </w:tcBorders>
            <w:shd w:val="clear" w:color="auto" w:fill="FFFFFF"/>
            <w:tcMar>
              <w:left w:w="19" w:type="dxa"/>
              <w:right w:w="19" w:type="dxa"/>
            </w:tcMar>
          </w:tcPr>
          <w:p w14:paraId="6F225948"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n (%)</w:t>
            </w:r>
          </w:p>
        </w:tc>
        <w:tc>
          <w:tcPr>
            <w:tcW w:w="795" w:type="dxa"/>
            <w:tcBorders>
              <w:top w:val="nil"/>
              <w:left w:val="nil"/>
              <w:bottom w:val="single" w:sz="8" w:space="0" w:color="000000"/>
              <w:right w:val="nil"/>
            </w:tcBorders>
            <w:shd w:val="clear" w:color="auto" w:fill="FFFFFF"/>
            <w:tcMar>
              <w:left w:w="19" w:type="dxa"/>
              <w:right w:w="19" w:type="dxa"/>
            </w:tcMar>
          </w:tcPr>
          <w:p w14:paraId="13C806EF"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Incidence</w:t>
            </w:r>
          </w:p>
        </w:tc>
        <w:tc>
          <w:tcPr>
            <w:tcW w:w="1085" w:type="dxa"/>
            <w:tcBorders>
              <w:top w:val="nil"/>
              <w:left w:val="nil"/>
              <w:bottom w:val="single" w:sz="8" w:space="0" w:color="000000"/>
              <w:right w:val="nil"/>
            </w:tcBorders>
            <w:shd w:val="clear" w:color="auto" w:fill="FFFFFF"/>
            <w:tcMar>
              <w:left w:w="19" w:type="dxa"/>
              <w:right w:w="19" w:type="dxa"/>
            </w:tcMar>
          </w:tcPr>
          <w:p w14:paraId="7BBEC853"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95% CI</w:t>
            </w:r>
          </w:p>
        </w:tc>
        <w:tc>
          <w:tcPr>
            <w:tcW w:w="931" w:type="dxa"/>
            <w:tcBorders>
              <w:top w:val="nil"/>
              <w:left w:val="nil"/>
              <w:bottom w:val="single" w:sz="8" w:space="0" w:color="000000"/>
              <w:right w:val="nil"/>
            </w:tcBorders>
            <w:shd w:val="clear" w:color="auto" w:fill="FFFFFF"/>
            <w:tcMar>
              <w:left w:w="19" w:type="dxa"/>
              <w:right w:w="19" w:type="dxa"/>
            </w:tcMar>
          </w:tcPr>
          <w:p w14:paraId="61181F9F"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n (%)</w:t>
            </w:r>
          </w:p>
        </w:tc>
        <w:tc>
          <w:tcPr>
            <w:tcW w:w="813" w:type="dxa"/>
            <w:tcBorders>
              <w:top w:val="nil"/>
              <w:left w:val="nil"/>
              <w:bottom w:val="single" w:sz="8" w:space="0" w:color="000000"/>
              <w:right w:val="nil"/>
            </w:tcBorders>
            <w:shd w:val="clear" w:color="auto" w:fill="FFFFFF"/>
            <w:tcMar>
              <w:left w:w="19" w:type="dxa"/>
              <w:right w:w="19" w:type="dxa"/>
            </w:tcMar>
          </w:tcPr>
          <w:p w14:paraId="7582002F"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Incidence</w:t>
            </w:r>
          </w:p>
        </w:tc>
        <w:tc>
          <w:tcPr>
            <w:tcW w:w="1071" w:type="dxa"/>
            <w:tcBorders>
              <w:top w:val="nil"/>
              <w:left w:val="nil"/>
              <w:bottom w:val="single" w:sz="8" w:space="0" w:color="000000"/>
              <w:right w:val="nil"/>
            </w:tcBorders>
            <w:shd w:val="clear" w:color="auto" w:fill="FFFFFF"/>
            <w:tcMar>
              <w:left w:w="19" w:type="dxa"/>
              <w:right w:w="19" w:type="dxa"/>
            </w:tcMar>
          </w:tcPr>
          <w:p w14:paraId="174DFAB8"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95% CI</w:t>
            </w:r>
          </w:p>
        </w:tc>
        <w:tc>
          <w:tcPr>
            <w:tcW w:w="523" w:type="dxa"/>
            <w:tcBorders>
              <w:top w:val="nil"/>
              <w:left w:val="nil"/>
              <w:bottom w:val="single" w:sz="8" w:space="0" w:color="000000"/>
              <w:right w:val="nil"/>
            </w:tcBorders>
            <w:shd w:val="clear" w:color="auto" w:fill="FFFFFF"/>
            <w:tcMar>
              <w:left w:w="19" w:type="dxa"/>
              <w:right w:w="19" w:type="dxa"/>
            </w:tcMar>
          </w:tcPr>
          <w:p w14:paraId="25983133"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IRR</w:t>
            </w:r>
          </w:p>
        </w:tc>
        <w:tc>
          <w:tcPr>
            <w:tcW w:w="917" w:type="dxa"/>
            <w:tcBorders>
              <w:top w:val="nil"/>
              <w:left w:val="nil"/>
              <w:bottom w:val="single" w:sz="8" w:space="0" w:color="000000"/>
              <w:right w:val="nil"/>
            </w:tcBorders>
            <w:shd w:val="clear" w:color="auto" w:fill="FFFFFF"/>
            <w:tcMar>
              <w:left w:w="19" w:type="dxa"/>
              <w:right w:w="19" w:type="dxa"/>
            </w:tcMar>
          </w:tcPr>
          <w:p w14:paraId="5AA42886"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95% CI</w:t>
            </w:r>
          </w:p>
        </w:tc>
        <w:tc>
          <w:tcPr>
            <w:tcW w:w="599" w:type="dxa"/>
            <w:tcBorders>
              <w:top w:val="nil"/>
              <w:left w:val="nil"/>
              <w:bottom w:val="single" w:sz="8" w:space="0" w:color="000000"/>
              <w:right w:val="nil"/>
            </w:tcBorders>
            <w:shd w:val="clear" w:color="auto" w:fill="FFFFFF"/>
            <w:tcMar>
              <w:left w:w="19" w:type="dxa"/>
              <w:right w:w="19" w:type="dxa"/>
            </w:tcMar>
          </w:tcPr>
          <w:p w14:paraId="66B382F4" w14:textId="77777777" w:rsidR="003313DF" w:rsidRPr="004526A7" w:rsidRDefault="003313DF" w:rsidP="003313DF">
            <w:pPr>
              <w:keepNext/>
              <w:adjustRightInd w:val="0"/>
              <w:spacing w:before="19" w:after="19"/>
              <w:jc w:val="center"/>
              <w:rPr>
                <w:rFonts w:ascii="Arial" w:hAnsi="Arial" w:cs="Arial"/>
                <w:b/>
                <w:bCs/>
                <w:color w:val="000000"/>
                <w:sz w:val="16"/>
                <w:szCs w:val="16"/>
              </w:rPr>
            </w:pPr>
            <w:r w:rsidRPr="004526A7">
              <w:rPr>
                <w:rFonts w:ascii="Arial" w:hAnsi="Arial" w:cs="Arial"/>
                <w:b/>
                <w:bCs/>
                <w:color w:val="000000"/>
                <w:sz w:val="16"/>
                <w:szCs w:val="16"/>
              </w:rPr>
              <w:t>p-value</w:t>
            </w:r>
          </w:p>
        </w:tc>
      </w:tr>
      <w:tr w:rsidR="003313DF" w:rsidRPr="004526A7" w14:paraId="1B6175DC" w14:textId="77777777" w:rsidTr="003313DF">
        <w:trPr>
          <w:cantSplit/>
        </w:trPr>
        <w:tc>
          <w:tcPr>
            <w:tcW w:w="9719" w:type="dxa"/>
            <w:gridSpan w:val="10"/>
            <w:tcBorders>
              <w:top w:val="nil"/>
              <w:left w:val="nil"/>
              <w:bottom w:val="nil"/>
              <w:right w:val="nil"/>
            </w:tcBorders>
            <w:shd w:val="clear" w:color="auto" w:fill="FFFFFF"/>
            <w:tcMar>
              <w:left w:w="19" w:type="dxa"/>
              <w:right w:w="19" w:type="dxa"/>
            </w:tcMar>
          </w:tcPr>
          <w:p w14:paraId="7F207625" w14:textId="77777777" w:rsidR="003313DF" w:rsidRPr="004526A7" w:rsidRDefault="003313DF" w:rsidP="003313DF">
            <w:pPr>
              <w:pBdr>
                <w:top w:val="single" w:sz="12" w:space="0" w:color="auto"/>
              </w:pBdr>
              <w:adjustRightInd w:val="0"/>
              <w:spacing w:before="19" w:after="19"/>
              <w:jc w:val="center"/>
              <w:rPr>
                <w:rFonts w:ascii="Courier" w:hAnsi="Courier" w:cs="Courier"/>
                <w:color w:val="000000"/>
                <w:sz w:val="16"/>
                <w:szCs w:val="16"/>
              </w:rPr>
            </w:pPr>
          </w:p>
        </w:tc>
      </w:tr>
      <w:tr w:rsidR="003313DF" w:rsidRPr="00396C87" w14:paraId="54E2AF58"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04F33BB0"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Unique hospital encounters</w:t>
            </w:r>
          </w:p>
        </w:tc>
        <w:tc>
          <w:tcPr>
            <w:tcW w:w="969" w:type="dxa"/>
            <w:tcBorders>
              <w:top w:val="nil"/>
              <w:left w:val="nil"/>
              <w:bottom w:val="nil"/>
              <w:right w:val="nil"/>
            </w:tcBorders>
            <w:shd w:val="clear" w:color="auto" w:fill="FFFFFF"/>
            <w:tcMar>
              <w:left w:w="19" w:type="dxa"/>
              <w:right w:w="19" w:type="dxa"/>
            </w:tcMar>
          </w:tcPr>
          <w:p w14:paraId="02457C59" w14:textId="77777777" w:rsidR="003313DF" w:rsidRPr="00561CC5" w:rsidRDefault="003313DF" w:rsidP="003313DF">
            <w:pPr>
              <w:adjustRightInd w:val="0"/>
              <w:spacing w:before="19" w:after="19"/>
              <w:ind w:left="-867" w:firstLine="867"/>
              <w:jc w:val="center"/>
              <w:rPr>
                <w:rFonts w:ascii="Arial" w:hAnsi="Arial" w:cs="Arial"/>
                <w:color w:val="000000"/>
                <w:sz w:val="15"/>
                <w:szCs w:val="15"/>
              </w:rPr>
            </w:pPr>
            <w:r w:rsidRPr="00561CC5">
              <w:rPr>
                <w:rFonts w:ascii="Arial" w:hAnsi="Arial" w:cs="Arial"/>
                <w:color w:val="000000"/>
                <w:sz w:val="15"/>
                <w:szCs w:val="15"/>
              </w:rPr>
              <w:t>400 (40.9%)</w:t>
            </w:r>
          </w:p>
        </w:tc>
        <w:tc>
          <w:tcPr>
            <w:tcW w:w="795" w:type="dxa"/>
            <w:tcBorders>
              <w:top w:val="nil"/>
              <w:left w:val="nil"/>
              <w:bottom w:val="nil"/>
              <w:right w:val="nil"/>
            </w:tcBorders>
            <w:shd w:val="clear" w:color="auto" w:fill="FFFFFF"/>
            <w:tcMar>
              <w:left w:w="19" w:type="dxa"/>
              <w:right w:w="19" w:type="dxa"/>
            </w:tcMar>
          </w:tcPr>
          <w:p w14:paraId="3EC018A8"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0.899</w:t>
            </w:r>
          </w:p>
        </w:tc>
        <w:tc>
          <w:tcPr>
            <w:tcW w:w="1085" w:type="dxa"/>
            <w:tcBorders>
              <w:top w:val="nil"/>
              <w:left w:val="nil"/>
              <w:bottom w:val="nil"/>
              <w:right w:val="nil"/>
            </w:tcBorders>
            <w:shd w:val="clear" w:color="auto" w:fill="FFFFFF"/>
            <w:tcMar>
              <w:left w:w="19" w:type="dxa"/>
              <w:right w:w="19" w:type="dxa"/>
            </w:tcMar>
          </w:tcPr>
          <w:p w14:paraId="6A7EB2F5"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(0.808, 1.000)</w:t>
            </w:r>
          </w:p>
        </w:tc>
        <w:tc>
          <w:tcPr>
            <w:tcW w:w="931" w:type="dxa"/>
            <w:tcBorders>
              <w:top w:val="nil"/>
              <w:left w:val="nil"/>
              <w:bottom w:val="nil"/>
              <w:right w:val="nil"/>
            </w:tcBorders>
            <w:shd w:val="clear" w:color="auto" w:fill="FFFFFF"/>
            <w:tcMar>
              <w:left w:w="19" w:type="dxa"/>
              <w:right w:w="19" w:type="dxa"/>
            </w:tcMar>
          </w:tcPr>
          <w:p w14:paraId="19A44E41"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349 (38.7%)</w:t>
            </w:r>
          </w:p>
        </w:tc>
        <w:tc>
          <w:tcPr>
            <w:tcW w:w="813" w:type="dxa"/>
            <w:tcBorders>
              <w:top w:val="nil"/>
              <w:left w:val="nil"/>
              <w:bottom w:val="nil"/>
              <w:right w:val="nil"/>
            </w:tcBorders>
            <w:shd w:val="clear" w:color="auto" w:fill="FFFFFF"/>
            <w:tcMar>
              <w:left w:w="19" w:type="dxa"/>
              <w:right w:w="19" w:type="dxa"/>
            </w:tcMar>
          </w:tcPr>
          <w:p w14:paraId="4F5AC0A5"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0.791</w:t>
            </w:r>
          </w:p>
        </w:tc>
        <w:tc>
          <w:tcPr>
            <w:tcW w:w="1071" w:type="dxa"/>
            <w:tcBorders>
              <w:top w:val="nil"/>
              <w:left w:val="nil"/>
              <w:bottom w:val="nil"/>
              <w:right w:val="nil"/>
            </w:tcBorders>
            <w:shd w:val="clear" w:color="auto" w:fill="FFFFFF"/>
            <w:tcMar>
              <w:left w:w="19" w:type="dxa"/>
              <w:right w:w="19" w:type="dxa"/>
            </w:tcMar>
          </w:tcPr>
          <w:p w14:paraId="679D5A26"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(0.705, 0.886)</w:t>
            </w:r>
          </w:p>
        </w:tc>
        <w:tc>
          <w:tcPr>
            <w:tcW w:w="523" w:type="dxa"/>
            <w:tcBorders>
              <w:top w:val="nil"/>
              <w:left w:val="nil"/>
              <w:bottom w:val="nil"/>
              <w:right w:val="nil"/>
            </w:tcBorders>
            <w:shd w:val="clear" w:color="auto" w:fill="FFFFFF"/>
            <w:tcMar>
              <w:left w:w="19" w:type="dxa"/>
              <w:right w:w="19" w:type="dxa"/>
            </w:tcMar>
          </w:tcPr>
          <w:p w14:paraId="1A98465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0.88</w:t>
            </w:r>
          </w:p>
        </w:tc>
        <w:tc>
          <w:tcPr>
            <w:tcW w:w="917" w:type="dxa"/>
            <w:tcBorders>
              <w:top w:val="nil"/>
              <w:left w:val="nil"/>
              <w:bottom w:val="nil"/>
              <w:right w:val="nil"/>
            </w:tcBorders>
            <w:shd w:val="clear" w:color="auto" w:fill="FFFFFF"/>
            <w:tcMar>
              <w:left w:w="19" w:type="dxa"/>
              <w:right w:w="19" w:type="dxa"/>
            </w:tcMar>
          </w:tcPr>
          <w:p w14:paraId="5ECF259C"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(0.75, 1.03)</w:t>
            </w:r>
          </w:p>
        </w:tc>
        <w:tc>
          <w:tcPr>
            <w:tcW w:w="599" w:type="dxa"/>
            <w:tcBorders>
              <w:top w:val="nil"/>
              <w:left w:val="nil"/>
              <w:bottom w:val="nil"/>
              <w:right w:val="nil"/>
            </w:tcBorders>
            <w:shd w:val="clear" w:color="auto" w:fill="FFFFFF"/>
            <w:tcMar>
              <w:left w:w="19" w:type="dxa"/>
              <w:right w:w="19" w:type="dxa"/>
            </w:tcMar>
          </w:tcPr>
          <w:p w14:paraId="4BE2BFBE"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0.105</w:t>
            </w:r>
          </w:p>
        </w:tc>
      </w:tr>
      <w:tr w:rsidR="003313DF" w:rsidRPr="00CF5008" w14:paraId="620AA0F7"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176D9C36"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Inpatient stays</w:t>
            </w:r>
          </w:p>
        </w:tc>
        <w:tc>
          <w:tcPr>
            <w:tcW w:w="969" w:type="dxa"/>
            <w:tcBorders>
              <w:top w:val="nil"/>
              <w:left w:val="nil"/>
              <w:bottom w:val="nil"/>
              <w:right w:val="nil"/>
            </w:tcBorders>
            <w:shd w:val="clear" w:color="auto" w:fill="FFFFFF"/>
            <w:tcMar>
              <w:left w:w="19" w:type="dxa"/>
              <w:right w:w="19" w:type="dxa"/>
            </w:tcMar>
          </w:tcPr>
          <w:p w14:paraId="630E83E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141 (14.4%)</w:t>
            </w:r>
          </w:p>
        </w:tc>
        <w:tc>
          <w:tcPr>
            <w:tcW w:w="795" w:type="dxa"/>
            <w:tcBorders>
              <w:top w:val="nil"/>
              <w:left w:val="nil"/>
              <w:bottom w:val="nil"/>
              <w:right w:val="nil"/>
            </w:tcBorders>
            <w:shd w:val="clear" w:color="auto" w:fill="FFFFFF"/>
            <w:tcMar>
              <w:left w:w="19" w:type="dxa"/>
              <w:right w:w="19" w:type="dxa"/>
            </w:tcMar>
          </w:tcPr>
          <w:p w14:paraId="3EE72F4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0.178</w:t>
            </w:r>
          </w:p>
        </w:tc>
        <w:tc>
          <w:tcPr>
            <w:tcW w:w="1085" w:type="dxa"/>
            <w:tcBorders>
              <w:top w:val="nil"/>
              <w:left w:val="nil"/>
              <w:bottom w:val="nil"/>
              <w:right w:val="nil"/>
            </w:tcBorders>
            <w:shd w:val="clear" w:color="auto" w:fill="FFFFFF"/>
            <w:tcMar>
              <w:left w:w="19" w:type="dxa"/>
              <w:right w:w="19" w:type="dxa"/>
            </w:tcMar>
          </w:tcPr>
          <w:p w14:paraId="460D8205"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(0.148, 0.215)</w:t>
            </w:r>
          </w:p>
        </w:tc>
        <w:tc>
          <w:tcPr>
            <w:tcW w:w="931" w:type="dxa"/>
            <w:tcBorders>
              <w:top w:val="nil"/>
              <w:left w:val="nil"/>
              <w:bottom w:val="nil"/>
              <w:right w:val="nil"/>
            </w:tcBorders>
            <w:shd w:val="clear" w:color="auto" w:fill="FFFFFF"/>
            <w:tcMar>
              <w:left w:w="19" w:type="dxa"/>
              <w:right w:w="19" w:type="dxa"/>
            </w:tcMar>
          </w:tcPr>
          <w:p w14:paraId="0F41E1BF"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97 (10.8%)</w:t>
            </w:r>
          </w:p>
        </w:tc>
        <w:tc>
          <w:tcPr>
            <w:tcW w:w="813" w:type="dxa"/>
            <w:tcBorders>
              <w:top w:val="nil"/>
              <w:left w:val="nil"/>
              <w:bottom w:val="nil"/>
              <w:right w:val="nil"/>
            </w:tcBorders>
            <w:shd w:val="clear" w:color="auto" w:fill="FFFFFF"/>
            <w:tcMar>
              <w:left w:w="19" w:type="dxa"/>
              <w:right w:w="19" w:type="dxa"/>
            </w:tcMar>
          </w:tcPr>
          <w:p w14:paraId="6D7E0D63"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0.129</w:t>
            </w:r>
          </w:p>
        </w:tc>
        <w:tc>
          <w:tcPr>
            <w:tcW w:w="1071" w:type="dxa"/>
            <w:tcBorders>
              <w:top w:val="nil"/>
              <w:left w:val="nil"/>
              <w:bottom w:val="nil"/>
              <w:right w:val="nil"/>
            </w:tcBorders>
            <w:shd w:val="clear" w:color="auto" w:fill="FFFFFF"/>
            <w:tcMar>
              <w:left w:w="19" w:type="dxa"/>
              <w:right w:w="19" w:type="dxa"/>
            </w:tcMar>
          </w:tcPr>
          <w:p w14:paraId="17D4873A"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(0.104, 0.160)</w:t>
            </w:r>
          </w:p>
        </w:tc>
        <w:tc>
          <w:tcPr>
            <w:tcW w:w="523" w:type="dxa"/>
            <w:tcBorders>
              <w:top w:val="nil"/>
              <w:left w:val="nil"/>
              <w:bottom w:val="nil"/>
              <w:right w:val="nil"/>
            </w:tcBorders>
            <w:shd w:val="clear" w:color="auto" w:fill="FFFFFF"/>
            <w:tcMar>
              <w:left w:w="19" w:type="dxa"/>
              <w:right w:w="19" w:type="dxa"/>
            </w:tcMar>
          </w:tcPr>
          <w:p w14:paraId="4F548413"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0.72</w:t>
            </w:r>
          </w:p>
        </w:tc>
        <w:tc>
          <w:tcPr>
            <w:tcW w:w="917" w:type="dxa"/>
            <w:tcBorders>
              <w:top w:val="nil"/>
              <w:left w:val="nil"/>
              <w:bottom w:val="nil"/>
              <w:right w:val="nil"/>
            </w:tcBorders>
            <w:shd w:val="clear" w:color="auto" w:fill="FFFFFF"/>
            <w:tcMar>
              <w:left w:w="19" w:type="dxa"/>
              <w:right w:w="19" w:type="dxa"/>
            </w:tcMar>
          </w:tcPr>
          <w:p w14:paraId="785BBC18"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(0.55, 0.96)</w:t>
            </w:r>
          </w:p>
        </w:tc>
        <w:tc>
          <w:tcPr>
            <w:tcW w:w="599" w:type="dxa"/>
            <w:tcBorders>
              <w:top w:val="nil"/>
              <w:left w:val="nil"/>
              <w:bottom w:val="nil"/>
              <w:right w:val="nil"/>
            </w:tcBorders>
            <w:shd w:val="clear" w:color="auto" w:fill="FFFFFF"/>
            <w:tcMar>
              <w:left w:w="19" w:type="dxa"/>
              <w:right w:w="19" w:type="dxa"/>
            </w:tcMar>
          </w:tcPr>
          <w:p w14:paraId="724BD3D6"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0.026</w:t>
            </w:r>
          </w:p>
        </w:tc>
      </w:tr>
      <w:tr w:rsidR="003313DF" w:rsidRPr="004526A7" w14:paraId="2A1A71B8"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4CCE170B"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 xml:space="preserve">    ICU stays</w:t>
            </w:r>
          </w:p>
        </w:tc>
        <w:tc>
          <w:tcPr>
            <w:tcW w:w="969" w:type="dxa"/>
            <w:tcBorders>
              <w:top w:val="nil"/>
              <w:left w:val="nil"/>
              <w:bottom w:val="nil"/>
              <w:right w:val="nil"/>
            </w:tcBorders>
            <w:shd w:val="clear" w:color="auto" w:fill="FFFFFF"/>
            <w:tcMar>
              <w:left w:w="19" w:type="dxa"/>
              <w:right w:w="19" w:type="dxa"/>
            </w:tcMar>
          </w:tcPr>
          <w:p w14:paraId="1956EFBE"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28 ( 2.9%)</w:t>
            </w:r>
          </w:p>
        </w:tc>
        <w:tc>
          <w:tcPr>
            <w:tcW w:w="795" w:type="dxa"/>
            <w:tcBorders>
              <w:top w:val="nil"/>
              <w:left w:val="nil"/>
              <w:bottom w:val="nil"/>
              <w:right w:val="nil"/>
            </w:tcBorders>
            <w:shd w:val="clear" w:color="auto" w:fill="FFFFFF"/>
            <w:tcMar>
              <w:left w:w="19" w:type="dxa"/>
              <w:right w:w="19" w:type="dxa"/>
            </w:tcMar>
          </w:tcPr>
          <w:p w14:paraId="37381155"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0.035</w:t>
            </w:r>
          </w:p>
        </w:tc>
        <w:tc>
          <w:tcPr>
            <w:tcW w:w="1085" w:type="dxa"/>
            <w:tcBorders>
              <w:top w:val="nil"/>
              <w:left w:val="nil"/>
              <w:bottom w:val="nil"/>
              <w:right w:val="nil"/>
            </w:tcBorders>
            <w:shd w:val="clear" w:color="auto" w:fill="FFFFFF"/>
            <w:tcMar>
              <w:left w:w="19" w:type="dxa"/>
              <w:right w:w="19" w:type="dxa"/>
            </w:tcMar>
          </w:tcPr>
          <w:p w14:paraId="7CFDC464"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(0.023, 0.053)</w:t>
            </w:r>
          </w:p>
        </w:tc>
        <w:tc>
          <w:tcPr>
            <w:tcW w:w="931" w:type="dxa"/>
            <w:tcBorders>
              <w:top w:val="nil"/>
              <w:left w:val="nil"/>
              <w:bottom w:val="nil"/>
              <w:right w:val="nil"/>
            </w:tcBorders>
            <w:shd w:val="clear" w:color="auto" w:fill="FFFFFF"/>
            <w:tcMar>
              <w:left w:w="19" w:type="dxa"/>
              <w:right w:w="19" w:type="dxa"/>
            </w:tcMar>
          </w:tcPr>
          <w:p w14:paraId="2E641A5A"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24 ( 2.7%)</w:t>
            </w:r>
          </w:p>
        </w:tc>
        <w:tc>
          <w:tcPr>
            <w:tcW w:w="813" w:type="dxa"/>
            <w:tcBorders>
              <w:top w:val="nil"/>
              <w:left w:val="nil"/>
              <w:bottom w:val="nil"/>
              <w:right w:val="nil"/>
            </w:tcBorders>
            <w:shd w:val="clear" w:color="auto" w:fill="FFFFFF"/>
            <w:tcMar>
              <w:left w:w="19" w:type="dxa"/>
              <w:right w:w="19" w:type="dxa"/>
            </w:tcMar>
          </w:tcPr>
          <w:p w14:paraId="5153C96F"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0.024</w:t>
            </w:r>
          </w:p>
        </w:tc>
        <w:tc>
          <w:tcPr>
            <w:tcW w:w="1071" w:type="dxa"/>
            <w:tcBorders>
              <w:top w:val="nil"/>
              <w:left w:val="nil"/>
              <w:bottom w:val="nil"/>
              <w:right w:val="nil"/>
            </w:tcBorders>
            <w:shd w:val="clear" w:color="auto" w:fill="FFFFFF"/>
            <w:tcMar>
              <w:left w:w="19" w:type="dxa"/>
              <w:right w:w="19" w:type="dxa"/>
            </w:tcMar>
          </w:tcPr>
          <w:p w14:paraId="16637FE4"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(0.015, 0.040)</w:t>
            </w:r>
          </w:p>
        </w:tc>
        <w:tc>
          <w:tcPr>
            <w:tcW w:w="523" w:type="dxa"/>
            <w:tcBorders>
              <w:top w:val="nil"/>
              <w:left w:val="nil"/>
              <w:bottom w:val="nil"/>
              <w:right w:val="nil"/>
            </w:tcBorders>
            <w:shd w:val="clear" w:color="auto" w:fill="FFFFFF"/>
            <w:tcMar>
              <w:left w:w="19" w:type="dxa"/>
              <w:right w:w="19" w:type="dxa"/>
            </w:tcMar>
          </w:tcPr>
          <w:p w14:paraId="022E1C22"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0.70</w:t>
            </w:r>
          </w:p>
        </w:tc>
        <w:tc>
          <w:tcPr>
            <w:tcW w:w="917" w:type="dxa"/>
            <w:tcBorders>
              <w:top w:val="nil"/>
              <w:left w:val="nil"/>
              <w:bottom w:val="nil"/>
              <w:right w:val="nil"/>
            </w:tcBorders>
            <w:shd w:val="clear" w:color="auto" w:fill="FFFFFF"/>
            <w:tcMar>
              <w:left w:w="19" w:type="dxa"/>
              <w:right w:w="19" w:type="dxa"/>
            </w:tcMar>
          </w:tcPr>
          <w:p w14:paraId="3DF9F0B6"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(0.38, 1.30)</w:t>
            </w:r>
          </w:p>
        </w:tc>
        <w:tc>
          <w:tcPr>
            <w:tcW w:w="599" w:type="dxa"/>
            <w:tcBorders>
              <w:top w:val="nil"/>
              <w:left w:val="nil"/>
              <w:bottom w:val="nil"/>
              <w:right w:val="nil"/>
            </w:tcBorders>
            <w:shd w:val="clear" w:color="auto" w:fill="FFFFFF"/>
            <w:tcMar>
              <w:left w:w="19" w:type="dxa"/>
              <w:right w:w="19" w:type="dxa"/>
            </w:tcMar>
          </w:tcPr>
          <w:p w14:paraId="38943DFA"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0.258</w:t>
            </w:r>
          </w:p>
        </w:tc>
      </w:tr>
      <w:tr w:rsidR="003313DF" w:rsidRPr="00396C87" w14:paraId="5E7F3825"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538967C6"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 xml:space="preserve">    Readmissions</w:t>
            </w:r>
          </w:p>
        </w:tc>
        <w:tc>
          <w:tcPr>
            <w:tcW w:w="969" w:type="dxa"/>
            <w:tcBorders>
              <w:top w:val="nil"/>
              <w:left w:val="nil"/>
              <w:bottom w:val="nil"/>
              <w:right w:val="nil"/>
            </w:tcBorders>
            <w:shd w:val="clear" w:color="auto" w:fill="FFFFFF"/>
            <w:tcMar>
              <w:left w:w="19" w:type="dxa"/>
              <w:right w:w="19" w:type="dxa"/>
            </w:tcMar>
          </w:tcPr>
          <w:p w14:paraId="595EFF2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31 ( 3.2%)</w:t>
            </w:r>
          </w:p>
        </w:tc>
        <w:tc>
          <w:tcPr>
            <w:tcW w:w="795" w:type="dxa"/>
            <w:tcBorders>
              <w:top w:val="nil"/>
              <w:left w:val="nil"/>
              <w:bottom w:val="nil"/>
              <w:right w:val="nil"/>
            </w:tcBorders>
            <w:shd w:val="clear" w:color="auto" w:fill="FFFFFF"/>
            <w:tcMar>
              <w:left w:w="19" w:type="dxa"/>
              <w:right w:w="19" w:type="dxa"/>
            </w:tcMar>
          </w:tcPr>
          <w:p w14:paraId="2C6F6E69"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0.026</w:t>
            </w:r>
          </w:p>
        </w:tc>
        <w:tc>
          <w:tcPr>
            <w:tcW w:w="1085" w:type="dxa"/>
            <w:tcBorders>
              <w:top w:val="nil"/>
              <w:left w:val="nil"/>
              <w:bottom w:val="nil"/>
              <w:right w:val="nil"/>
            </w:tcBorders>
            <w:shd w:val="clear" w:color="auto" w:fill="FFFFFF"/>
            <w:tcMar>
              <w:left w:w="19" w:type="dxa"/>
              <w:right w:w="19" w:type="dxa"/>
            </w:tcMar>
          </w:tcPr>
          <w:p w14:paraId="49EB738F"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(0.016, 0.043)</w:t>
            </w:r>
          </w:p>
        </w:tc>
        <w:tc>
          <w:tcPr>
            <w:tcW w:w="931" w:type="dxa"/>
            <w:tcBorders>
              <w:top w:val="nil"/>
              <w:left w:val="nil"/>
              <w:bottom w:val="nil"/>
              <w:right w:val="nil"/>
            </w:tcBorders>
            <w:shd w:val="clear" w:color="auto" w:fill="FFFFFF"/>
            <w:tcMar>
              <w:left w:w="19" w:type="dxa"/>
              <w:right w:w="19" w:type="dxa"/>
            </w:tcMar>
          </w:tcPr>
          <w:p w14:paraId="68BCFE60"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10 ( 1.1%)</w:t>
            </w:r>
          </w:p>
        </w:tc>
        <w:tc>
          <w:tcPr>
            <w:tcW w:w="813" w:type="dxa"/>
            <w:tcBorders>
              <w:top w:val="nil"/>
              <w:left w:val="nil"/>
              <w:bottom w:val="nil"/>
              <w:right w:val="nil"/>
            </w:tcBorders>
            <w:shd w:val="clear" w:color="auto" w:fill="FFFFFF"/>
            <w:tcMar>
              <w:left w:w="19" w:type="dxa"/>
              <w:right w:w="19" w:type="dxa"/>
            </w:tcMar>
          </w:tcPr>
          <w:p w14:paraId="3577A961"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0.011</w:t>
            </w:r>
          </w:p>
        </w:tc>
        <w:tc>
          <w:tcPr>
            <w:tcW w:w="1071" w:type="dxa"/>
            <w:tcBorders>
              <w:top w:val="nil"/>
              <w:left w:val="nil"/>
              <w:bottom w:val="nil"/>
              <w:right w:val="nil"/>
            </w:tcBorders>
            <w:shd w:val="clear" w:color="auto" w:fill="FFFFFF"/>
            <w:tcMar>
              <w:left w:w="19" w:type="dxa"/>
              <w:right w:w="19" w:type="dxa"/>
            </w:tcMar>
          </w:tcPr>
          <w:p w14:paraId="4AA9B56B"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(0.006, 0.022)</w:t>
            </w:r>
          </w:p>
        </w:tc>
        <w:tc>
          <w:tcPr>
            <w:tcW w:w="523" w:type="dxa"/>
            <w:tcBorders>
              <w:top w:val="nil"/>
              <w:left w:val="nil"/>
              <w:bottom w:val="nil"/>
              <w:right w:val="nil"/>
            </w:tcBorders>
            <w:shd w:val="clear" w:color="auto" w:fill="FFFFFF"/>
            <w:tcMar>
              <w:left w:w="19" w:type="dxa"/>
              <w:right w:w="19" w:type="dxa"/>
            </w:tcMar>
          </w:tcPr>
          <w:p w14:paraId="6BA1B923"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0.44</w:t>
            </w:r>
          </w:p>
        </w:tc>
        <w:tc>
          <w:tcPr>
            <w:tcW w:w="917" w:type="dxa"/>
            <w:tcBorders>
              <w:top w:val="nil"/>
              <w:left w:val="nil"/>
              <w:bottom w:val="nil"/>
              <w:right w:val="nil"/>
            </w:tcBorders>
            <w:shd w:val="clear" w:color="auto" w:fill="FFFFFF"/>
            <w:tcMar>
              <w:left w:w="19" w:type="dxa"/>
              <w:right w:w="19" w:type="dxa"/>
            </w:tcMar>
          </w:tcPr>
          <w:p w14:paraId="364869CE"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(0.20, 0.93)</w:t>
            </w:r>
          </w:p>
        </w:tc>
        <w:tc>
          <w:tcPr>
            <w:tcW w:w="599" w:type="dxa"/>
            <w:tcBorders>
              <w:top w:val="nil"/>
              <w:left w:val="nil"/>
              <w:bottom w:val="nil"/>
              <w:right w:val="nil"/>
            </w:tcBorders>
            <w:shd w:val="clear" w:color="auto" w:fill="FFFFFF"/>
            <w:tcMar>
              <w:left w:w="19" w:type="dxa"/>
              <w:right w:w="19" w:type="dxa"/>
            </w:tcMar>
          </w:tcPr>
          <w:p w14:paraId="130FC181"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0.033</w:t>
            </w:r>
          </w:p>
        </w:tc>
      </w:tr>
      <w:tr w:rsidR="003313DF" w:rsidRPr="004526A7" w14:paraId="1B72BB49"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5199CBD1"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Partial hospitalizations</w:t>
            </w:r>
          </w:p>
        </w:tc>
        <w:tc>
          <w:tcPr>
            <w:tcW w:w="969" w:type="dxa"/>
            <w:tcBorders>
              <w:top w:val="nil"/>
              <w:left w:val="nil"/>
              <w:bottom w:val="nil"/>
              <w:right w:val="nil"/>
            </w:tcBorders>
            <w:shd w:val="clear" w:color="auto" w:fill="FFFFFF"/>
            <w:tcMar>
              <w:left w:w="19" w:type="dxa"/>
              <w:right w:w="19" w:type="dxa"/>
            </w:tcMar>
          </w:tcPr>
          <w:p w14:paraId="142CEBBE"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18 ( 1.8%)</w:t>
            </w:r>
          </w:p>
        </w:tc>
        <w:tc>
          <w:tcPr>
            <w:tcW w:w="795" w:type="dxa"/>
            <w:tcBorders>
              <w:top w:val="nil"/>
              <w:left w:val="nil"/>
              <w:bottom w:val="nil"/>
              <w:right w:val="nil"/>
            </w:tcBorders>
            <w:shd w:val="clear" w:color="auto" w:fill="FFFFFF"/>
            <w:tcMar>
              <w:left w:w="19" w:type="dxa"/>
              <w:right w:w="19" w:type="dxa"/>
            </w:tcMar>
          </w:tcPr>
          <w:p w14:paraId="1A5C9132"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0.093</w:t>
            </w:r>
          </w:p>
        </w:tc>
        <w:tc>
          <w:tcPr>
            <w:tcW w:w="1085" w:type="dxa"/>
            <w:tcBorders>
              <w:top w:val="nil"/>
              <w:left w:val="nil"/>
              <w:bottom w:val="nil"/>
              <w:right w:val="nil"/>
            </w:tcBorders>
            <w:shd w:val="clear" w:color="auto" w:fill="FFFFFF"/>
            <w:tcMar>
              <w:left w:w="19" w:type="dxa"/>
              <w:right w:w="19" w:type="dxa"/>
            </w:tcMar>
          </w:tcPr>
          <w:p w14:paraId="6C3AF55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(0.076, 0.115)</w:t>
            </w:r>
          </w:p>
        </w:tc>
        <w:tc>
          <w:tcPr>
            <w:tcW w:w="931" w:type="dxa"/>
            <w:tcBorders>
              <w:top w:val="nil"/>
              <w:left w:val="nil"/>
              <w:bottom w:val="nil"/>
              <w:right w:val="nil"/>
            </w:tcBorders>
            <w:shd w:val="clear" w:color="auto" w:fill="FFFFFF"/>
            <w:tcMar>
              <w:left w:w="19" w:type="dxa"/>
              <w:right w:w="19" w:type="dxa"/>
            </w:tcMar>
          </w:tcPr>
          <w:p w14:paraId="2CE30411"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5 ( 0.6%)</w:t>
            </w:r>
          </w:p>
        </w:tc>
        <w:tc>
          <w:tcPr>
            <w:tcW w:w="813" w:type="dxa"/>
            <w:tcBorders>
              <w:top w:val="nil"/>
              <w:left w:val="nil"/>
              <w:bottom w:val="nil"/>
              <w:right w:val="nil"/>
            </w:tcBorders>
            <w:shd w:val="clear" w:color="auto" w:fill="FFFFFF"/>
            <w:tcMar>
              <w:left w:w="19" w:type="dxa"/>
              <w:right w:w="19" w:type="dxa"/>
            </w:tcMar>
          </w:tcPr>
          <w:p w14:paraId="1C1FC496"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0.028</w:t>
            </w:r>
          </w:p>
        </w:tc>
        <w:tc>
          <w:tcPr>
            <w:tcW w:w="1071" w:type="dxa"/>
            <w:tcBorders>
              <w:top w:val="nil"/>
              <w:left w:val="nil"/>
              <w:bottom w:val="nil"/>
              <w:right w:val="nil"/>
            </w:tcBorders>
            <w:shd w:val="clear" w:color="auto" w:fill="FFFFFF"/>
            <w:tcMar>
              <w:left w:w="19" w:type="dxa"/>
              <w:right w:w="19" w:type="dxa"/>
            </w:tcMar>
          </w:tcPr>
          <w:p w14:paraId="09C5821E"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(0.019, 0.042)</w:t>
            </w:r>
          </w:p>
        </w:tc>
        <w:tc>
          <w:tcPr>
            <w:tcW w:w="523" w:type="dxa"/>
            <w:tcBorders>
              <w:top w:val="nil"/>
              <w:left w:val="nil"/>
              <w:bottom w:val="nil"/>
              <w:right w:val="nil"/>
            </w:tcBorders>
            <w:shd w:val="clear" w:color="auto" w:fill="FFFFFF"/>
            <w:tcMar>
              <w:left w:w="19" w:type="dxa"/>
              <w:right w:w="19" w:type="dxa"/>
            </w:tcMar>
          </w:tcPr>
          <w:p w14:paraId="791D6148" w14:textId="0C1BD37B" w:rsidR="003313DF" w:rsidRPr="00561CC5" w:rsidRDefault="00ED1D8D"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N</w:t>
            </w:r>
            <w:r>
              <w:rPr>
                <w:rFonts w:ascii="Arial" w:hAnsi="Arial" w:cs="Arial"/>
                <w:color w:val="000000"/>
                <w:sz w:val="15"/>
                <w:szCs w:val="15"/>
              </w:rPr>
              <w:t>A</w:t>
            </w:r>
          </w:p>
        </w:tc>
        <w:tc>
          <w:tcPr>
            <w:tcW w:w="917" w:type="dxa"/>
            <w:tcBorders>
              <w:top w:val="nil"/>
              <w:left w:val="nil"/>
              <w:bottom w:val="nil"/>
              <w:right w:val="nil"/>
            </w:tcBorders>
            <w:shd w:val="clear" w:color="auto" w:fill="FFFFFF"/>
            <w:tcMar>
              <w:left w:w="19" w:type="dxa"/>
              <w:right w:w="19" w:type="dxa"/>
            </w:tcMar>
          </w:tcPr>
          <w:p w14:paraId="772A03AF" w14:textId="0D5603D9" w:rsidR="003313DF" w:rsidRPr="00561CC5" w:rsidRDefault="00ED1D8D"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N</w:t>
            </w:r>
            <w:r>
              <w:rPr>
                <w:rFonts w:ascii="Arial" w:hAnsi="Arial" w:cs="Arial"/>
                <w:color w:val="000000"/>
                <w:sz w:val="15"/>
                <w:szCs w:val="15"/>
              </w:rPr>
              <w:t>A</w:t>
            </w:r>
          </w:p>
        </w:tc>
        <w:tc>
          <w:tcPr>
            <w:tcW w:w="599" w:type="dxa"/>
            <w:tcBorders>
              <w:top w:val="nil"/>
              <w:left w:val="nil"/>
              <w:bottom w:val="nil"/>
              <w:right w:val="nil"/>
            </w:tcBorders>
            <w:shd w:val="clear" w:color="auto" w:fill="FFFFFF"/>
            <w:tcMar>
              <w:left w:w="19" w:type="dxa"/>
              <w:right w:w="19" w:type="dxa"/>
            </w:tcMar>
          </w:tcPr>
          <w:p w14:paraId="21DC4C95" w14:textId="65CC246C" w:rsidR="003313DF" w:rsidRPr="00561CC5" w:rsidRDefault="00ED1D8D"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N</w:t>
            </w:r>
            <w:r>
              <w:rPr>
                <w:rFonts w:ascii="Arial" w:hAnsi="Arial" w:cs="Arial"/>
                <w:color w:val="000000"/>
                <w:sz w:val="15"/>
                <w:szCs w:val="15"/>
              </w:rPr>
              <w:t>A</w:t>
            </w:r>
          </w:p>
        </w:tc>
      </w:tr>
      <w:tr w:rsidR="003313DF" w:rsidRPr="00396C87" w14:paraId="743CAA02"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1B879A1E"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ED visits - not admitted</w:t>
            </w:r>
          </w:p>
        </w:tc>
        <w:tc>
          <w:tcPr>
            <w:tcW w:w="969" w:type="dxa"/>
            <w:tcBorders>
              <w:top w:val="nil"/>
              <w:left w:val="nil"/>
              <w:bottom w:val="nil"/>
              <w:right w:val="nil"/>
            </w:tcBorders>
            <w:shd w:val="clear" w:color="auto" w:fill="FFFFFF"/>
            <w:tcMar>
              <w:left w:w="19" w:type="dxa"/>
              <w:right w:w="19" w:type="dxa"/>
            </w:tcMar>
          </w:tcPr>
          <w:p w14:paraId="3C302606"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353 (36.1%)</w:t>
            </w:r>
          </w:p>
        </w:tc>
        <w:tc>
          <w:tcPr>
            <w:tcW w:w="795" w:type="dxa"/>
            <w:tcBorders>
              <w:top w:val="nil"/>
              <w:left w:val="nil"/>
              <w:bottom w:val="nil"/>
              <w:right w:val="nil"/>
            </w:tcBorders>
            <w:shd w:val="clear" w:color="auto" w:fill="FFFFFF"/>
            <w:tcMar>
              <w:left w:w="19" w:type="dxa"/>
              <w:right w:w="19" w:type="dxa"/>
            </w:tcMar>
          </w:tcPr>
          <w:p w14:paraId="1E2F85B4"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0.651</w:t>
            </w:r>
          </w:p>
        </w:tc>
        <w:tc>
          <w:tcPr>
            <w:tcW w:w="1085" w:type="dxa"/>
            <w:tcBorders>
              <w:top w:val="nil"/>
              <w:left w:val="nil"/>
              <w:bottom w:val="nil"/>
              <w:right w:val="nil"/>
            </w:tcBorders>
            <w:shd w:val="clear" w:color="auto" w:fill="FFFFFF"/>
            <w:tcMar>
              <w:left w:w="19" w:type="dxa"/>
              <w:right w:w="19" w:type="dxa"/>
            </w:tcMar>
          </w:tcPr>
          <w:p w14:paraId="202915D8"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(0.582, 0.729)</w:t>
            </w:r>
          </w:p>
        </w:tc>
        <w:tc>
          <w:tcPr>
            <w:tcW w:w="931" w:type="dxa"/>
            <w:tcBorders>
              <w:top w:val="nil"/>
              <w:left w:val="nil"/>
              <w:bottom w:val="nil"/>
              <w:right w:val="nil"/>
            </w:tcBorders>
            <w:shd w:val="clear" w:color="auto" w:fill="FFFFFF"/>
            <w:tcMar>
              <w:left w:w="19" w:type="dxa"/>
              <w:right w:w="19" w:type="dxa"/>
            </w:tcMar>
          </w:tcPr>
          <w:p w14:paraId="6337D5EF"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308 (34.2%)</w:t>
            </w:r>
          </w:p>
        </w:tc>
        <w:tc>
          <w:tcPr>
            <w:tcW w:w="813" w:type="dxa"/>
            <w:tcBorders>
              <w:top w:val="nil"/>
              <w:left w:val="nil"/>
              <w:bottom w:val="nil"/>
              <w:right w:val="nil"/>
            </w:tcBorders>
            <w:shd w:val="clear" w:color="auto" w:fill="FFFFFF"/>
            <w:tcMar>
              <w:left w:w="19" w:type="dxa"/>
              <w:right w:w="19" w:type="dxa"/>
            </w:tcMar>
          </w:tcPr>
          <w:p w14:paraId="70172330"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0.606</w:t>
            </w:r>
          </w:p>
        </w:tc>
        <w:tc>
          <w:tcPr>
            <w:tcW w:w="1071" w:type="dxa"/>
            <w:tcBorders>
              <w:top w:val="nil"/>
              <w:left w:val="nil"/>
              <w:bottom w:val="nil"/>
              <w:right w:val="nil"/>
            </w:tcBorders>
            <w:shd w:val="clear" w:color="auto" w:fill="FFFFFF"/>
            <w:tcMar>
              <w:left w:w="19" w:type="dxa"/>
              <w:right w:w="19" w:type="dxa"/>
            </w:tcMar>
          </w:tcPr>
          <w:p w14:paraId="42ADE1D2"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(0.538, 0.683)</w:t>
            </w:r>
          </w:p>
        </w:tc>
        <w:tc>
          <w:tcPr>
            <w:tcW w:w="523" w:type="dxa"/>
            <w:tcBorders>
              <w:top w:val="nil"/>
              <w:left w:val="nil"/>
              <w:bottom w:val="nil"/>
              <w:right w:val="nil"/>
            </w:tcBorders>
            <w:shd w:val="clear" w:color="auto" w:fill="FFFFFF"/>
            <w:tcMar>
              <w:left w:w="19" w:type="dxa"/>
              <w:right w:w="19" w:type="dxa"/>
            </w:tcMar>
          </w:tcPr>
          <w:p w14:paraId="23BD1905"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0.93</w:t>
            </w:r>
          </w:p>
        </w:tc>
        <w:tc>
          <w:tcPr>
            <w:tcW w:w="917" w:type="dxa"/>
            <w:tcBorders>
              <w:top w:val="nil"/>
              <w:left w:val="nil"/>
              <w:bottom w:val="nil"/>
              <w:right w:val="nil"/>
            </w:tcBorders>
            <w:shd w:val="clear" w:color="auto" w:fill="FFFFFF"/>
            <w:tcMar>
              <w:left w:w="19" w:type="dxa"/>
              <w:right w:w="19" w:type="dxa"/>
            </w:tcMar>
          </w:tcPr>
          <w:p w14:paraId="2875A59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(0.79, 1.09)</w:t>
            </w:r>
          </w:p>
        </w:tc>
        <w:tc>
          <w:tcPr>
            <w:tcW w:w="599" w:type="dxa"/>
            <w:tcBorders>
              <w:top w:val="nil"/>
              <w:left w:val="nil"/>
              <w:bottom w:val="nil"/>
              <w:right w:val="nil"/>
            </w:tcBorders>
            <w:shd w:val="clear" w:color="auto" w:fill="FFFFFF"/>
            <w:tcMar>
              <w:left w:w="19" w:type="dxa"/>
              <w:right w:w="19" w:type="dxa"/>
            </w:tcMar>
          </w:tcPr>
          <w:p w14:paraId="445E645A"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0.386</w:t>
            </w:r>
          </w:p>
        </w:tc>
      </w:tr>
      <w:tr w:rsidR="003313DF" w:rsidRPr="004526A7" w14:paraId="454DE768" w14:textId="77777777" w:rsidTr="003313DF">
        <w:trPr>
          <w:cantSplit/>
        </w:trPr>
        <w:tc>
          <w:tcPr>
            <w:tcW w:w="2016" w:type="dxa"/>
            <w:tcBorders>
              <w:top w:val="nil"/>
              <w:left w:val="nil"/>
              <w:bottom w:val="nil"/>
              <w:right w:val="nil"/>
            </w:tcBorders>
            <w:shd w:val="clear" w:color="auto" w:fill="FFFFFF"/>
            <w:tcMar>
              <w:left w:w="19" w:type="dxa"/>
              <w:right w:w="19" w:type="dxa"/>
            </w:tcMar>
          </w:tcPr>
          <w:p w14:paraId="5652FC58" w14:textId="77777777" w:rsidR="003313DF" w:rsidRPr="006714CD" w:rsidRDefault="003313DF" w:rsidP="003313DF">
            <w:pPr>
              <w:adjustRightInd w:val="0"/>
              <w:spacing w:before="19" w:after="19"/>
              <w:ind w:left="330" w:hanging="330"/>
              <w:rPr>
                <w:rFonts w:ascii="Arial" w:hAnsi="Arial" w:cs="Arial"/>
                <w:color w:val="000000"/>
                <w:sz w:val="15"/>
                <w:szCs w:val="15"/>
              </w:rPr>
            </w:pPr>
            <w:r w:rsidRPr="006714CD">
              <w:rPr>
                <w:rFonts w:ascii="Arial" w:hAnsi="Arial" w:cs="Arial"/>
                <w:color w:val="000000"/>
                <w:sz w:val="15"/>
                <w:szCs w:val="15"/>
              </w:rPr>
              <w:t>HOPD visits</w:t>
            </w:r>
          </w:p>
        </w:tc>
        <w:tc>
          <w:tcPr>
            <w:tcW w:w="969" w:type="dxa"/>
            <w:tcBorders>
              <w:top w:val="nil"/>
              <w:left w:val="nil"/>
              <w:bottom w:val="nil"/>
              <w:right w:val="nil"/>
            </w:tcBorders>
            <w:shd w:val="clear" w:color="auto" w:fill="FFFFFF"/>
            <w:tcMar>
              <w:left w:w="19" w:type="dxa"/>
              <w:right w:w="19" w:type="dxa"/>
            </w:tcMar>
          </w:tcPr>
          <w:p w14:paraId="48A7B248"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25 ( 2.6%)</w:t>
            </w:r>
          </w:p>
        </w:tc>
        <w:tc>
          <w:tcPr>
            <w:tcW w:w="795" w:type="dxa"/>
            <w:tcBorders>
              <w:top w:val="nil"/>
              <w:left w:val="nil"/>
              <w:bottom w:val="nil"/>
              <w:right w:val="nil"/>
            </w:tcBorders>
            <w:shd w:val="clear" w:color="auto" w:fill="FFFFFF"/>
            <w:tcMar>
              <w:left w:w="19" w:type="dxa"/>
              <w:right w:w="19" w:type="dxa"/>
            </w:tcMar>
          </w:tcPr>
          <w:p w14:paraId="646F46BA"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0.019</w:t>
            </w:r>
          </w:p>
        </w:tc>
        <w:tc>
          <w:tcPr>
            <w:tcW w:w="1085" w:type="dxa"/>
            <w:tcBorders>
              <w:top w:val="nil"/>
              <w:left w:val="nil"/>
              <w:bottom w:val="nil"/>
              <w:right w:val="nil"/>
            </w:tcBorders>
            <w:shd w:val="clear" w:color="auto" w:fill="FFFFFF"/>
            <w:tcMar>
              <w:left w:w="19" w:type="dxa"/>
              <w:right w:w="19" w:type="dxa"/>
            </w:tcMar>
          </w:tcPr>
          <w:p w14:paraId="1BF92DDB"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(0.012, 0.031)</w:t>
            </w:r>
          </w:p>
        </w:tc>
        <w:tc>
          <w:tcPr>
            <w:tcW w:w="931" w:type="dxa"/>
            <w:tcBorders>
              <w:top w:val="nil"/>
              <w:left w:val="nil"/>
              <w:bottom w:val="nil"/>
              <w:right w:val="nil"/>
            </w:tcBorders>
            <w:shd w:val="clear" w:color="auto" w:fill="FFFFFF"/>
            <w:tcMar>
              <w:left w:w="19" w:type="dxa"/>
              <w:right w:w="19" w:type="dxa"/>
            </w:tcMar>
          </w:tcPr>
          <w:p w14:paraId="4160EDB2"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17 ( 1.9%)</w:t>
            </w:r>
          </w:p>
        </w:tc>
        <w:tc>
          <w:tcPr>
            <w:tcW w:w="813" w:type="dxa"/>
            <w:tcBorders>
              <w:top w:val="nil"/>
              <w:left w:val="nil"/>
              <w:bottom w:val="nil"/>
              <w:right w:val="nil"/>
            </w:tcBorders>
            <w:shd w:val="clear" w:color="auto" w:fill="FFFFFF"/>
            <w:tcMar>
              <w:left w:w="19" w:type="dxa"/>
              <w:right w:w="19" w:type="dxa"/>
            </w:tcMar>
          </w:tcPr>
          <w:p w14:paraId="3E8B95EA"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0.020</w:t>
            </w:r>
          </w:p>
        </w:tc>
        <w:tc>
          <w:tcPr>
            <w:tcW w:w="1071" w:type="dxa"/>
            <w:tcBorders>
              <w:top w:val="nil"/>
              <w:left w:val="nil"/>
              <w:bottom w:val="nil"/>
              <w:right w:val="nil"/>
            </w:tcBorders>
            <w:shd w:val="clear" w:color="auto" w:fill="FFFFFF"/>
            <w:tcMar>
              <w:left w:w="19" w:type="dxa"/>
              <w:right w:w="19" w:type="dxa"/>
            </w:tcMar>
          </w:tcPr>
          <w:p w14:paraId="0C02FA18"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(0.012, 0.034)</w:t>
            </w:r>
          </w:p>
        </w:tc>
        <w:tc>
          <w:tcPr>
            <w:tcW w:w="523" w:type="dxa"/>
            <w:tcBorders>
              <w:top w:val="nil"/>
              <w:left w:val="nil"/>
              <w:bottom w:val="nil"/>
              <w:right w:val="nil"/>
            </w:tcBorders>
            <w:shd w:val="clear" w:color="auto" w:fill="FFFFFF"/>
            <w:tcMar>
              <w:left w:w="19" w:type="dxa"/>
              <w:right w:w="19" w:type="dxa"/>
            </w:tcMar>
          </w:tcPr>
          <w:p w14:paraId="69411427"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1.06</w:t>
            </w:r>
          </w:p>
        </w:tc>
        <w:tc>
          <w:tcPr>
            <w:tcW w:w="917" w:type="dxa"/>
            <w:tcBorders>
              <w:top w:val="nil"/>
              <w:left w:val="nil"/>
              <w:bottom w:val="nil"/>
              <w:right w:val="nil"/>
            </w:tcBorders>
            <w:shd w:val="clear" w:color="auto" w:fill="FFFFFF"/>
            <w:tcMar>
              <w:left w:w="19" w:type="dxa"/>
              <w:right w:w="19" w:type="dxa"/>
            </w:tcMar>
          </w:tcPr>
          <w:p w14:paraId="00AF072B"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(0.54, 2.05)</w:t>
            </w:r>
          </w:p>
        </w:tc>
        <w:tc>
          <w:tcPr>
            <w:tcW w:w="599" w:type="dxa"/>
            <w:tcBorders>
              <w:top w:val="nil"/>
              <w:left w:val="nil"/>
              <w:bottom w:val="nil"/>
              <w:right w:val="nil"/>
            </w:tcBorders>
            <w:shd w:val="clear" w:color="auto" w:fill="FFFFFF"/>
            <w:tcMar>
              <w:left w:w="19" w:type="dxa"/>
              <w:right w:w="19" w:type="dxa"/>
            </w:tcMar>
          </w:tcPr>
          <w:p w14:paraId="55B2BEC8" w14:textId="77777777" w:rsidR="003313DF" w:rsidRPr="00561CC5" w:rsidRDefault="003313DF" w:rsidP="003313DF">
            <w:pPr>
              <w:adjustRightInd w:val="0"/>
              <w:spacing w:before="19" w:after="19"/>
              <w:jc w:val="center"/>
              <w:rPr>
                <w:rFonts w:ascii="Arial" w:hAnsi="Arial" w:cs="Arial"/>
                <w:color w:val="000000"/>
                <w:sz w:val="15"/>
                <w:szCs w:val="15"/>
              </w:rPr>
            </w:pPr>
            <w:r w:rsidRPr="00561CC5">
              <w:rPr>
                <w:rFonts w:ascii="Arial" w:hAnsi="Arial" w:cs="Arial"/>
                <w:color w:val="000000"/>
                <w:sz w:val="15"/>
                <w:szCs w:val="15"/>
              </w:rPr>
              <w:t>0.874</w:t>
            </w:r>
          </w:p>
        </w:tc>
      </w:tr>
      <w:tr w:rsidR="003313DF" w:rsidRPr="003313DF" w14:paraId="5EEA4FB3" w14:textId="77777777" w:rsidTr="003313DF">
        <w:trPr>
          <w:cantSplit/>
        </w:trPr>
        <w:tc>
          <w:tcPr>
            <w:tcW w:w="9719" w:type="dxa"/>
            <w:gridSpan w:val="10"/>
            <w:tcBorders>
              <w:top w:val="nil"/>
              <w:left w:val="nil"/>
              <w:bottom w:val="nil"/>
              <w:right w:val="nil"/>
            </w:tcBorders>
            <w:shd w:val="clear" w:color="auto" w:fill="FFFFFF"/>
            <w:tcMar>
              <w:left w:w="19" w:type="dxa"/>
              <w:right w:w="19" w:type="dxa"/>
            </w:tcMar>
          </w:tcPr>
          <w:p w14:paraId="58B36389" w14:textId="46B991F3" w:rsidR="003313DF" w:rsidRPr="003313DF" w:rsidRDefault="003313DF" w:rsidP="003313DF">
            <w:pPr>
              <w:adjustRightInd w:val="0"/>
              <w:spacing w:before="19" w:after="19"/>
              <w:rPr>
                <w:rFonts w:ascii="Arial" w:hAnsi="Arial" w:cs="Arial"/>
                <w:color w:val="000000"/>
                <w:sz w:val="13"/>
                <w:szCs w:val="13"/>
              </w:rPr>
            </w:pPr>
            <w:r w:rsidRPr="003313DF">
              <w:rPr>
                <w:rFonts w:ascii="Arial" w:hAnsi="Arial" w:cs="Arial"/>
                <w:color w:val="000000"/>
                <w:sz w:val="13"/>
                <w:szCs w:val="13"/>
              </w:rPr>
              <w:t>CI, confidence interval; ED, emergency department; HOPD, hospital outpatient department; IRR, incidence rate ratio; N</w:t>
            </w:r>
            <w:r w:rsidR="00CE1C20">
              <w:rPr>
                <w:rFonts w:ascii="Arial" w:hAnsi="Arial" w:cs="Arial"/>
                <w:color w:val="000000"/>
                <w:sz w:val="13"/>
                <w:szCs w:val="13"/>
              </w:rPr>
              <w:t>A</w:t>
            </w:r>
            <w:r w:rsidRPr="003313DF">
              <w:rPr>
                <w:rFonts w:ascii="Arial" w:hAnsi="Arial" w:cs="Arial"/>
                <w:color w:val="000000"/>
                <w:sz w:val="13"/>
                <w:szCs w:val="13"/>
              </w:rPr>
              <w:t xml:space="preserve">, not </w:t>
            </w:r>
            <w:r w:rsidR="0054349B">
              <w:rPr>
                <w:rFonts w:ascii="Arial" w:hAnsi="Arial" w:cs="Arial"/>
                <w:color w:val="000000"/>
                <w:sz w:val="13"/>
                <w:szCs w:val="13"/>
              </w:rPr>
              <w:t>applicable</w:t>
            </w:r>
            <w:r>
              <w:rPr>
                <w:rFonts w:ascii="Arial" w:hAnsi="Arial" w:cs="Arial"/>
                <w:color w:val="000000"/>
                <w:sz w:val="13"/>
                <w:szCs w:val="13"/>
              </w:rPr>
              <w:t>.</w:t>
            </w:r>
          </w:p>
          <w:p w14:paraId="74FE680A" w14:textId="7B304ED1" w:rsidR="003313DF" w:rsidRPr="00B66BAA" w:rsidRDefault="003313DF" w:rsidP="003313DF">
            <w:pPr>
              <w:adjustRightInd w:val="0"/>
              <w:spacing w:before="19" w:after="19"/>
              <w:rPr>
                <w:rFonts w:ascii="Arial" w:hAnsi="Arial" w:cs="Arial"/>
                <w:color w:val="000000"/>
                <w:sz w:val="13"/>
                <w:szCs w:val="13"/>
              </w:rPr>
            </w:pPr>
            <w:r w:rsidRPr="00B66BAA">
              <w:rPr>
                <w:rFonts w:ascii="Arial" w:hAnsi="Arial" w:cs="Arial"/>
                <w:color w:val="000000"/>
                <w:sz w:val="13"/>
                <w:szCs w:val="13"/>
              </w:rPr>
              <w:t>Incidence and IRR calculated from a negative binomial model of count of stays/visits adjusted for age, sex, region, payer type, Charlson comorbidity index score, and number of similar services in the 12 months prior to index date, with an offset for the number of days in the post-index period</w:t>
            </w:r>
            <w:r>
              <w:rPr>
                <w:rFonts w:ascii="Arial" w:hAnsi="Arial" w:cs="Arial"/>
                <w:color w:val="000000"/>
                <w:sz w:val="13"/>
                <w:szCs w:val="13"/>
              </w:rPr>
              <w:t>.</w:t>
            </w:r>
          </w:p>
        </w:tc>
      </w:tr>
    </w:tbl>
    <w:p w14:paraId="69132054" w14:textId="1DCC1BE5" w:rsidR="006714CD" w:rsidRDefault="006714CD" w:rsidP="00D83C99">
      <w:pPr>
        <w:rPr>
          <w:b/>
        </w:rPr>
      </w:pPr>
    </w:p>
    <w:p w14:paraId="3A56F0D1" w14:textId="69CD0BE4" w:rsidR="006714CD" w:rsidRDefault="006714CD" w:rsidP="00D83C99">
      <w:pPr>
        <w:rPr>
          <w:b/>
        </w:rPr>
      </w:pPr>
    </w:p>
    <w:p w14:paraId="7A4E1100" w14:textId="4C34D9FC" w:rsidR="00107257" w:rsidRDefault="00107257" w:rsidP="00D83C99">
      <w:pPr>
        <w:rPr>
          <w:b/>
        </w:rPr>
      </w:pPr>
    </w:p>
    <w:p w14:paraId="367AB786" w14:textId="3987F8FC" w:rsidR="00107257" w:rsidRDefault="00107257" w:rsidP="00107257">
      <w:pPr>
        <w:widowControl w:val="0"/>
        <w:spacing w:after="120" w:line="480" w:lineRule="auto"/>
      </w:pPr>
      <w:r>
        <w:t>Table 3. Comparison of model results</w:t>
      </w:r>
    </w:p>
    <w:tbl>
      <w:tblPr>
        <w:tblStyle w:val="TableGrid"/>
        <w:tblW w:w="0" w:type="auto"/>
        <w:tblLook w:val="04A0" w:firstRow="1" w:lastRow="0" w:firstColumn="1" w:lastColumn="0" w:noHBand="0" w:noVBand="1"/>
      </w:tblPr>
      <w:tblGrid>
        <w:gridCol w:w="2337"/>
        <w:gridCol w:w="779"/>
        <w:gridCol w:w="779"/>
        <w:gridCol w:w="870"/>
        <w:gridCol w:w="960"/>
        <w:gridCol w:w="1050"/>
        <w:gridCol w:w="1050"/>
      </w:tblGrid>
      <w:tr w:rsidR="00107257" w14:paraId="09CB091A" w14:textId="77777777" w:rsidTr="00254156">
        <w:tc>
          <w:tcPr>
            <w:tcW w:w="2337" w:type="dxa"/>
          </w:tcPr>
          <w:p w14:paraId="1CDF719D" w14:textId="77777777" w:rsidR="00107257" w:rsidRPr="00254156" w:rsidRDefault="00107257" w:rsidP="00540AEC">
            <w:pPr>
              <w:widowControl w:val="0"/>
              <w:spacing w:after="120" w:line="480" w:lineRule="auto"/>
              <w:rPr>
                <w:rFonts w:ascii="Arial" w:hAnsi="Arial" w:cs="Arial"/>
                <w:color w:val="000000"/>
                <w:sz w:val="16"/>
                <w:szCs w:val="16"/>
              </w:rPr>
            </w:pPr>
            <w:r w:rsidRPr="00254156">
              <w:rPr>
                <w:rFonts w:ascii="Arial" w:hAnsi="Arial" w:cs="Arial"/>
                <w:color w:val="000000"/>
                <w:sz w:val="16"/>
                <w:szCs w:val="16"/>
              </w:rPr>
              <w:t>Mode Type</w:t>
            </w:r>
          </w:p>
        </w:tc>
        <w:tc>
          <w:tcPr>
            <w:tcW w:w="2428" w:type="dxa"/>
            <w:gridSpan w:val="3"/>
          </w:tcPr>
          <w:p w14:paraId="43165705" w14:textId="77777777" w:rsidR="00107257" w:rsidRPr="00254156" w:rsidRDefault="00107257" w:rsidP="00540AEC">
            <w:pPr>
              <w:widowControl w:val="0"/>
              <w:spacing w:after="120" w:line="480" w:lineRule="auto"/>
              <w:rPr>
                <w:rFonts w:ascii="Arial" w:hAnsi="Arial" w:cs="Arial"/>
                <w:color w:val="000000"/>
                <w:sz w:val="16"/>
                <w:szCs w:val="16"/>
              </w:rPr>
            </w:pPr>
            <w:r w:rsidRPr="00254156">
              <w:rPr>
                <w:rFonts w:ascii="Arial" w:hAnsi="Arial" w:cs="Arial"/>
                <w:color w:val="000000"/>
                <w:sz w:val="16"/>
                <w:szCs w:val="16"/>
              </w:rPr>
              <w:t>IRRs: Model with adjustment for baseline patient characteristics</w:t>
            </w:r>
          </w:p>
        </w:tc>
        <w:tc>
          <w:tcPr>
            <w:tcW w:w="3060" w:type="dxa"/>
            <w:gridSpan w:val="3"/>
          </w:tcPr>
          <w:p w14:paraId="4B15437E" w14:textId="77777777" w:rsidR="00107257" w:rsidRPr="00254156" w:rsidRDefault="00107257" w:rsidP="00540AEC">
            <w:pPr>
              <w:widowControl w:val="0"/>
              <w:spacing w:after="120" w:line="480" w:lineRule="auto"/>
              <w:rPr>
                <w:rFonts w:ascii="Arial" w:hAnsi="Arial" w:cs="Arial"/>
                <w:color w:val="000000"/>
                <w:sz w:val="16"/>
                <w:szCs w:val="16"/>
              </w:rPr>
            </w:pPr>
            <w:r w:rsidRPr="00254156">
              <w:rPr>
                <w:rFonts w:ascii="Arial" w:hAnsi="Arial" w:cs="Arial"/>
                <w:color w:val="000000"/>
                <w:sz w:val="16"/>
                <w:szCs w:val="16"/>
              </w:rPr>
              <w:t>IRRs: Model with adjustment for baseline characteristics and concomitant baseline mental health and substance use disorders</w:t>
            </w:r>
          </w:p>
        </w:tc>
      </w:tr>
      <w:tr w:rsidR="00107257" w14:paraId="53F4F0D6" w14:textId="77777777" w:rsidTr="00540AEC">
        <w:tc>
          <w:tcPr>
            <w:tcW w:w="2337" w:type="dxa"/>
          </w:tcPr>
          <w:p w14:paraId="4D28D322" w14:textId="77777777" w:rsidR="00107257" w:rsidRDefault="00107257" w:rsidP="00540AEC">
            <w:pPr>
              <w:widowControl w:val="0"/>
              <w:spacing w:after="120" w:line="480" w:lineRule="auto"/>
              <w:rPr>
                <w:rFonts w:ascii="Arial" w:hAnsi="Arial" w:cs="Arial"/>
                <w:color w:val="000000"/>
                <w:sz w:val="16"/>
                <w:szCs w:val="16"/>
              </w:rPr>
            </w:pPr>
          </w:p>
        </w:tc>
        <w:tc>
          <w:tcPr>
            <w:tcW w:w="779" w:type="dxa"/>
          </w:tcPr>
          <w:p w14:paraId="32388B08" w14:textId="77777777" w:rsidR="00107257" w:rsidRPr="00561CC5" w:rsidRDefault="00107257" w:rsidP="00540AEC">
            <w:pPr>
              <w:widowControl w:val="0"/>
              <w:spacing w:after="120" w:line="480" w:lineRule="auto"/>
              <w:rPr>
                <w:rFonts w:ascii="Arial" w:hAnsi="Arial" w:cs="Arial"/>
                <w:color w:val="000000"/>
                <w:sz w:val="15"/>
                <w:szCs w:val="15"/>
              </w:rPr>
            </w:pPr>
            <w:r w:rsidRPr="004526A7">
              <w:rPr>
                <w:rFonts w:ascii="Arial" w:hAnsi="Arial" w:cs="Arial"/>
                <w:b/>
                <w:bCs/>
                <w:color w:val="000000"/>
                <w:sz w:val="16"/>
                <w:szCs w:val="16"/>
              </w:rPr>
              <w:t>IRR</w:t>
            </w:r>
          </w:p>
        </w:tc>
        <w:tc>
          <w:tcPr>
            <w:tcW w:w="779" w:type="dxa"/>
          </w:tcPr>
          <w:p w14:paraId="3E3A76EA" w14:textId="77777777" w:rsidR="00107257" w:rsidRPr="00561CC5" w:rsidRDefault="00107257" w:rsidP="00540AEC">
            <w:pPr>
              <w:widowControl w:val="0"/>
              <w:spacing w:after="120" w:line="480" w:lineRule="auto"/>
              <w:rPr>
                <w:rFonts w:ascii="Arial" w:hAnsi="Arial" w:cs="Arial"/>
                <w:color w:val="000000"/>
                <w:sz w:val="15"/>
                <w:szCs w:val="15"/>
              </w:rPr>
            </w:pPr>
            <w:r w:rsidRPr="004526A7">
              <w:rPr>
                <w:rFonts w:ascii="Arial" w:hAnsi="Arial" w:cs="Arial"/>
                <w:b/>
                <w:bCs/>
                <w:color w:val="000000"/>
                <w:sz w:val="16"/>
                <w:szCs w:val="16"/>
              </w:rPr>
              <w:t>95% CI</w:t>
            </w:r>
          </w:p>
        </w:tc>
        <w:tc>
          <w:tcPr>
            <w:tcW w:w="870" w:type="dxa"/>
          </w:tcPr>
          <w:p w14:paraId="63F0D402" w14:textId="77777777" w:rsidR="00107257" w:rsidRPr="00561CC5" w:rsidRDefault="00107257" w:rsidP="00540AEC">
            <w:pPr>
              <w:widowControl w:val="0"/>
              <w:spacing w:after="120" w:line="480" w:lineRule="auto"/>
              <w:rPr>
                <w:rFonts w:ascii="Arial" w:hAnsi="Arial" w:cs="Arial"/>
                <w:color w:val="000000"/>
                <w:sz w:val="15"/>
                <w:szCs w:val="15"/>
              </w:rPr>
            </w:pPr>
            <w:r>
              <w:rPr>
                <w:rFonts w:ascii="Arial" w:hAnsi="Arial" w:cs="Arial"/>
                <w:b/>
                <w:bCs/>
                <w:color w:val="000000"/>
                <w:sz w:val="16"/>
                <w:szCs w:val="16"/>
              </w:rPr>
              <w:t>P</w:t>
            </w:r>
            <w:r w:rsidRPr="004526A7">
              <w:rPr>
                <w:rFonts w:ascii="Arial" w:hAnsi="Arial" w:cs="Arial"/>
                <w:b/>
                <w:bCs/>
                <w:color w:val="000000"/>
                <w:sz w:val="16"/>
                <w:szCs w:val="16"/>
              </w:rPr>
              <w:t>-value</w:t>
            </w:r>
          </w:p>
        </w:tc>
        <w:tc>
          <w:tcPr>
            <w:tcW w:w="960" w:type="dxa"/>
          </w:tcPr>
          <w:p w14:paraId="29024B3C" w14:textId="77777777" w:rsidR="00107257" w:rsidRPr="00FA0699" w:rsidRDefault="00107257" w:rsidP="00540AEC">
            <w:pPr>
              <w:widowControl w:val="0"/>
              <w:spacing w:after="120" w:line="480" w:lineRule="auto"/>
              <w:rPr>
                <w:rFonts w:ascii="Arial" w:hAnsi="Arial" w:cs="Arial"/>
                <w:color w:val="000000"/>
                <w:sz w:val="16"/>
                <w:szCs w:val="16"/>
              </w:rPr>
            </w:pPr>
            <w:r w:rsidRPr="004526A7">
              <w:rPr>
                <w:rFonts w:ascii="Arial" w:hAnsi="Arial" w:cs="Arial"/>
                <w:b/>
                <w:bCs/>
                <w:color w:val="000000"/>
                <w:sz w:val="16"/>
                <w:szCs w:val="16"/>
              </w:rPr>
              <w:t>IRR</w:t>
            </w:r>
          </w:p>
        </w:tc>
        <w:tc>
          <w:tcPr>
            <w:tcW w:w="1050" w:type="dxa"/>
          </w:tcPr>
          <w:p w14:paraId="580D15F6" w14:textId="77777777" w:rsidR="00107257" w:rsidRPr="00FA0699" w:rsidRDefault="00107257" w:rsidP="00540AEC">
            <w:pPr>
              <w:widowControl w:val="0"/>
              <w:spacing w:after="120" w:line="480" w:lineRule="auto"/>
              <w:rPr>
                <w:rFonts w:ascii="Arial" w:hAnsi="Arial" w:cs="Arial"/>
                <w:color w:val="000000"/>
                <w:sz w:val="16"/>
                <w:szCs w:val="16"/>
              </w:rPr>
            </w:pPr>
            <w:r w:rsidRPr="004526A7">
              <w:rPr>
                <w:rFonts w:ascii="Arial" w:hAnsi="Arial" w:cs="Arial"/>
                <w:b/>
                <w:bCs/>
                <w:color w:val="000000"/>
                <w:sz w:val="16"/>
                <w:szCs w:val="16"/>
              </w:rPr>
              <w:t>95% CI</w:t>
            </w:r>
          </w:p>
        </w:tc>
        <w:tc>
          <w:tcPr>
            <w:tcW w:w="1050" w:type="dxa"/>
          </w:tcPr>
          <w:p w14:paraId="09105E0E" w14:textId="77777777" w:rsidR="00107257" w:rsidRPr="00FA0699" w:rsidRDefault="00107257" w:rsidP="00540AEC">
            <w:pPr>
              <w:widowControl w:val="0"/>
              <w:spacing w:after="120" w:line="480" w:lineRule="auto"/>
              <w:rPr>
                <w:rFonts w:ascii="Arial" w:hAnsi="Arial" w:cs="Arial"/>
                <w:color w:val="000000"/>
                <w:sz w:val="16"/>
                <w:szCs w:val="16"/>
              </w:rPr>
            </w:pPr>
            <w:r>
              <w:rPr>
                <w:rFonts w:ascii="Arial" w:hAnsi="Arial" w:cs="Arial"/>
                <w:b/>
                <w:bCs/>
                <w:color w:val="000000"/>
                <w:sz w:val="16"/>
                <w:szCs w:val="16"/>
              </w:rPr>
              <w:t>P</w:t>
            </w:r>
            <w:r w:rsidRPr="004526A7">
              <w:rPr>
                <w:rFonts w:ascii="Arial" w:hAnsi="Arial" w:cs="Arial"/>
                <w:b/>
                <w:bCs/>
                <w:color w:val="000000"/>
                <w:sz w:val="16"/>
                <w:szCs w:val="16"/>
              </w:rPr>
              <w:t>-value</w:t>
            </w:r>
          </w:p>
        </w:tc>
      </w:tr>
      <w:tr w:rsidR="00107257" w14:paraId="12E588D2" w14:textId="77777777" w:rsidTr="00540AEC">
        <w:tc>
          <w:tcPr>
            <w:tcW w:w="2337" w:type="dxa"/>
          </w:tcPr>
          <w:p w14:paraId="76C832F5" w14:textId="77777777" w:rsidR="00107257" w:rsidRDefault="00107257" w:rsidP="00540AEC">
            <w:pPr>
              <w:widowControl w:val="0"/>
              <w:spacing w:after="120" w:line="480" w:lineRule="auto"/>
            </w:pPr>
            <w:r>
              <w:rPr>
                <w:rFonts w:ascii="Arial" w:hAnsi="Arial" w:cs="Arial"/>
                <w:color w:val="000000"/>
                <w:sz w:val="16"/>
                <w:szCs w:val="16"/>
              </w:rPr>
              <w:t>Unique</w:t>
            </w:r>
            <w:r w:rsidRPr="00FA0699">
              <w:rPr>
                <w:rFonts w:ascii="Arial" w:hAnsi="Arial" w:cs="Arial"/>
                <w:color w:val="000000"/>
                <w:sz w:val="16"/>
                <w:szCs w:val="16"/>
              </w:rPr>
              <w:t xml:space="preserve"> hospital encounters</w:t>
            </w:r>
          </w:p>
        </w:tc>
        <w:tc>
          <w:tcPr>
            <w:tcW w:w="779" w:type="dxa"/>
          </w:tcPr>
          <w:p w14:paraId="7957CC73" w14:textId="77777777" w:rsidR="00107257" w:rsidRDefault="00107257" w:rsidP="00540AEC">
            <w:pPr>
              <w:widowControl w:val="0"/>
              <w:spacing w:after="120" w:line="480" w:lineRule="auto"/>
            </w:pPr>
            <w:r w:rsidRPr="00561CC5">
              <w:rPr>
                <w:rFonts w:ascii="Arial" w:hAnsi="Arial" w:cs="Arial"/>
                <w:color w:val="000000"/>
                <w:sz w:val="15"/>
                <w:szCs w:val="15"/>
              </w:rPr>
              <w:t>0.88</w:t>
            </w:r>
          </w:p>
        </w:tc>
        <w:tc>
          <w:tcPr>
            <w:tcW w:w="779" w:type="dxa"/>
          </w:tcPr>
          <w:p w14:paraId="384B43E6" w14:textId="77777777" w:rsidR="00107257" w:rsidRDefault="00107257" w:rsidP="00540AEC">
            <w:pPr>
              <w:widowControl w:val="0"/>
              <w:spacing w:after="120" w:line="480" w:lineRule="auto"/>
            </w:pPr>
            <w:r w:rsidRPr="00561CC5">
              <w:rPr>
                <w:rFonts w:ascii="Arial" w:hAnsi="Arial" w:cs="Arial"/>
                <w:color w:val="000000"/>
                <w:sz w:val="15"/>
                <w:szCs w:val="15"/>
              </w:rPr>
              <w:t>(0.75, 1.03)</w:t>
            </w:r>
          </w:p>
        </w:tc>
        <w:tc>
          <w:tcPr>
            <w:tcW w:w="870" w:type="dxa"/>
          </w:tcPr>
          <w:p w14:paraId="3A78AC97" w14:textId="77777777" w:rsidR="00107257" w:rsidRDefault="00107257" w:rsidP="00540AEC">
            <w:pPr>
              <w:widowControl w:val="0"/>
              <w:spacing w:after="120" w:line="480" w:lineRule="auto"/>
            </w:pPr>
            <w:r w:rsidRPr="00561CC5">
              <w:rPr>
                <w:rFonts w:ascii="Arial" w:hAnsi="Arial" w:cs="Arial"/>
                <w:color w:val="000000"/>
                <w:sz w:val="15"/>
                <w:szCs w:val="15"/>
              </w:rPr>
              <w:t>0.105</w:t>
            </w:r>
          </w:p>
        </w:tc>
        <w:tc>
          <w:tcPr>
            <w:tcW w:w="960" w:type="dxa"/>
          </w:tcPr>
          <w:p w14:paraId="4281F51F" w14:textId="77777777" w:rsidR="00107257" w:rsidRDefault="00107257" w:rsidP="00540AEC">
            <w:pPr>
              <w:widowControl w:val="0"/>
              <w:spacing w:after="120" w:line="480" w:lineRule="auto"/>
            </w:pPr>
            <w:r w:rsidRPr="00FA0699">
              <w:rPr>
                <w:rFonts w:ascii="Arial" w:hAnsi="Arial" w:cs="Arial"/>
                <w:color w:val="000000"/>
                <w:sz w:val="16"/>
                <w:szCs w:val="16"/>
              </w:rPr>
              <w:t>0.87</w:t>
            </w:r>
          </w:p>
        </w:tc>
        <w:tc>
          <w:tcPr>
            <w:tcW w:w="1050" w:type="dxa"/>
          </w:tcPr>
          <w:p w14:paraId="0EA57F0E" w14:textId="77777777" w:rsidR="00107257" w:rsidRDefault="00107257" w:rsidP="00540AEC">
            <w:pPr>
              <w:widowControl w:val="0"/>
              <w:spacing w:after="120" w:line="480" w:lineRule="auto"/>
            </w:pPr>
            <w:r w:rsidRPr="00FA0699">
              <w:rPr>
                <w:rFonts w:ascii="Arial" w:hAnsi="Arial" w:cs="Arial"/>
                <w:color w:val="000000"/>
                <w:sz w:val="16"/>
                <w:szCs w:val="16"/>
              </w:rPr>
              <w:t>(0.74, 1.01)</w:t>
            </w:r>
          </w:p>
        </w:tc>
        <w:tc>
          <w:tcPr>
            <w:tcW w:w="1050" w:type="dxa"/>
          </w:tcPr>
          <w:p w14:paraId="7E07F8ED" w14:textId="77777777" w:rsidR="00107257" w:rsidRDefault="00107257" w:rsidP="00540AEC">
            <w:pPr>
              <w:widowControl w:val="0"/>
              <w:spacing w:after="120" w:line="480" w:lineRule="auto"/>
            </w:pPr>
            <w:r w:rsidRPr="00FA0699">
              <w:rPr>
                <w:rFonts w:ascii="Arial" w:hAnsi="Arial" w:cs="Arial"/>
                <w:color w:val="000000"/>
                <w:sz w:val="16"/>
                <w:szCs w:val="16"/>
              </w:rPr>
              <w:t>0.072</w:t>
            </w:r>
          </w:p>
        </w:tc>
      </w:tr>
      <w:tr w:rsidR="00107257" w14:paraId="42CE5256" w14:textId="77777777" w:rsidTr="00540AEC">
        <w:tc>
          <w:tcPr>
            <w:tcW w:w="2337" w:type="dxa"/>
          </w:tcPr>
          <w:p w14:paraId="0ABEA959" w14:textId="77777777" w:rsidR="00107257" w:rsidRDefault="00107257" w:rsidP="00540AEC">
            <w:pPr>
              <w:widowControl w:val="0"/>
              <w:spacing w:after="120" w:line="480" w:lineRule="auto"/>
            </w:pPr>
            <w:r w:rsidRPr="00FA0699">
              <w:rPr>
                <w:rFonts w:ascii="Arial" w:hAnsi="Arial" w:cs="Arial"/>
                <w:color w:val="000000"/>
                <w:sz w:val="16"/>
                <w:szCs w:val="16"/>
              </w:rPr>
              <w:t>Inpatient stays</w:t>
            </w:r>
          </w:p>
        </w:tc>
        <w:tc>
          <w:tcPr>
            <w:tcW w:w="779" w:type="dxa"/>
          </w:tcPr>
          <w:p w14:paraId="4F7372A1" w14:textId="77777777" w:rsidR="00107257" w:rsidRDefault="00107257" w:rsidP="00540AEC">
            <w:pPr>
              <w:widowControl w:val="0"/>
              <w:spacing w:after="120" w:line="480" w:lineRule="auto"/>
            </w:pPr>
            <w:r w:rsidRPr="00561CC5">
              <w:rPr>
                <w:rFonts w:ascii="Arial" w:hAnsi="Arial" w:cs="Arial"/>
                <w:color w:val="000000"/>
                <w:sz w:val="15"/>
                <w:szCs w:val="15"/>
              </w:rPr>
              <w:t>0.72</w:t>
            </w:r>
          </w:p>
        </w:tc>
        <w:tc>
          <w:tcPr>
            <w:tcW w:w="779" w:type="dxa"/>
          </w:tcPr>
          <w:p w14:paraId="1B016647" w14:textId="77777777" w:rsidR="00107257" w:rsidRDefault="00107257" w:rsidP="00540AEC">
            <w:pPr>
              <w:widowControl w:val="0"/>
              <w:spacing w:after="120" w:line="480" w:lineRule="auto"/>
            </w:pPr>
            <w:r w:rsidRPr="00561CC5">
              <w:rPr>
                <w:rFonts w:ascii="Arial" w:hAnsi="Arial" w:cs="Arial"/>
                <w:color w:val="000000"/>
                <w:sz w:val="15"/>
                <w:szCs w:val="15"/>
              </w:rPr>
              <w:t>(0.55, 0.96)</w:t>
            </w:r>
          </w:p>
        </w:tc>
        <w:tc>
          <w:tcPr>
            <w:tcW w:w="870" w:type="dxa"/>
          </w:tcPr>
          <w:p w14:paraId="1FBD78D4" w14:textId="77777777" w:rsidR="00107257" w:rsidRPr="00254156" w:rsidRDefault="00107257" w:rsidP="00540AEC">
            <w:pPr>
              <w:widowControl w:val="0"/>
              <w:spacing w:after="120" w:line="480" w:lineRule="auto"/>
              <w:rPr>
                <w:b/>
                <w:bCs/>
              </w:rPr>
            </w:pPr>
            <w:r w:rsidRPr="00254156">
              <w:rPr>
                <w:rFonts w:ascii="Arial" w:hAnsi="Arial" w:cs="Arial"/>
                <w:b/>
                <w:bCs/>
                <w:color w:val="000000"/>
                <w:sz w:val="15"/>
                <w:szCs w:val="15"/>
              </w:rPr>
              <w:t>0.026</w:t>
            </w:r>
          </w:p>
        </w:tc>
        <w:tc>
          <w:tcPr>
            <w:tcW w:w="960" w:type="dxa"/>
          </w:tcPr>
          <w:p w14:paraId="42D117FC" w14:textId="77777777" w:rsidR="00107257" w:rsidRDefault="00107257" w:rsidP="00540AEC">
            <w:pPr>
              <w:widowControl w:val="0"/>
              <w:spacing w:after="120" w:line="480" w:lineRule="auto"/>
            </w:pPr>
            <w:r w:rsidRPr="00FA0699">
              <w:rPr>
                <w:rFonts w:ascii="Arial" w:hAnsi="Arial" w:cs="Arial"/>
                <w:color w:val="000000"/>
                <w:sz w:val="16"/>
                <w:szCs w:val="16"/>
              </w:rPr>
              <w:t>0.72</w:t>
            </w:r>
          </w:p>
        </w:tc>
        <w:tc>
          <w:tcPr>
            <w:tcW w:w="1050" w:type="dxa"/>
          </w:tcPr>
          <w:p w14:paraId="6A91F683" w14:textId="77777777" w:rsidR="00107257" w:rsidRDefault="00107257" w:rsidP="00540AEC">
            <w:pPr>
              <w:widowControl w:val="0"/>
              <w:spacing w:after="120" w:line="480" w:lineRule="auto"/>
            </w:pPr>
            <w:r w:rsidRPr="00FA0699">
              <w:rPr>
                <w:rFonts w:ascii="Arial" w:hAnsi="Arial" w:cs="Arial"/>
                <w:color w:val="000000"/>
                <w:sz w:val="16"/>
                <w:szCs w:val="16"/>
              </w:rPr>
              <w:t>(0.55, 0.96)</w:t>
            </w:r>
          </w:p>
        </w:tc>
        <w:tc>
          <w:tcPr>
            <w:tcW w:w="1050" w:type="dxa"/>
          </w:tcPr>
          <w:p w14:paraId="7CAAE2DE" w14:textId="77777777" w:rsidR="00107257" w:rsidRPr="00254156" w:rsidRDefault="00107257" w:rsidP="00540AEC">
            <w:pPr>
              <w:widowControl w:val="0"/>
              <w:spacing w:after="120" w:line="480" w:lineRule="auto"/>
              <w:rPr>
                <w:b/>
                <w:bCs/>
              </w:rPr>
            </w:pPr>
            <w:r w:rsidRPr="00254156">
              <w:rPr>
                <w:rFonts w:ascii="Arial" w:hAnsi="Arial" w:cs="Arial"/>
                <w:b/>
                <w:bCs/>
                <w:color w:val="000000"/>
                <w:sz w:val="16"/>
                <w:szCs w:val="16"/>
              </w:rPr>
              <w:t>0.023</w:t>
            </w:r>
          </w:p>
        </w:tc>
      </w:tr>
      <w:tr w:rsidR="00107257" w14:paraId="05ADFA24" w14:textId="77777777" w:rsidTr="00540AEC">
        <w:tc>
          <w:tcPr>
            <w:tcW w:w="2337" w:type="dxa"/>
          </w:tcPr>
          <w:p w14:paraId="00399878" w14:textId="77777777" w:rsidR="00107257" w:rsidRDefault="00107257" w:rsidP="00540AEC">
            <w:pPr>
              <w:widowControl w:val="0"/>
              <w:spacing w:after="120" w:line="480" w:lineRule="auto"/>
            </w:pPr>
            <w:r w:rsidRPr="00FA0699">
              <w:rPr>
                <w:rFonts w:ascii="Arial" w:hAnsi="Arial" w:cs="Arial"/>
                <w:color w:val="000000"/>
                <w:sz w:val="16"/>
                <w:szCs w:val="16"/>
              </w:rPr>
              <w:t xml:space="preserve">    ICU stays</w:t>
            </w:r>
          </w:p>
        </w:tc>
        <w:tc>
          <w:tcPr>
            <w:tcW w:w="779" w:type="dxa"/>
          </w:tcPr>
          <w:p w14:paraId="3C9AE44C" w14:textId="77777777" w:rsidR="00107257" w:rsidRDefault="00107257" w:rsidP="00540AEC">
            <w:pPr>
              <w:widowControl w:val="0"/>
              <w:spacing w:after="120" w:line="480" w:lineRule="auto"/>
            </w:pPr>
            <w:r w:rsidRPr="00561CC5">
              <w:rPr>
                <w:rFonts w:ascii="Arial" w:hAnsi="Arial" w:cs="Arial"/>
                <w:color w:val="000000"/>
                <w:sz w:val="15"/>
                <w:szCs w:val="15"/>
              </w:rPr>
              <w:t>0.70</w:t>
            </w:r>
          </w:p>
        </w:tc>
        <w:tc>
          <w:tcPr>
            <w:tcW w:w="779" w:type="dxa"/>
          </w:tcPr>
          <w:p w14:paraId="1D351400" w14:textId="77777777" w:rsidR="00107257" w:rsidRDefault="00107257" w:rsidP="00540AEC">
            <w:pPr>
              <w:widowControl w:val="0"/>
              <w:spacing w:after="120" w:line="480" w:lineRule="auto"/>
            </w:pPr>
            <w:r w:rsidRPr="00561CC5">
              <w:rPr>
                <w:rFonts w:ascii="Arial" w:hAnsi="Arial" w:cs="Arial"/>
                <w:color w:val="000000"/>
                <w:sz w:val="15"/>
                <w:szCs w:val="15"/>
              </w:rPr>
              <w:t>(0.38, 1.30)</w:t>
            </w:r>
          </w:p>
        </w:tc>
        <w:tc>
          <w:tcPr>
            <w:tcW w:w="870" w:type="dxa"/>
          </w:tcPr>
          <w:p w14:paraId="184D0471" w14:textId="77777777" w:rsidR="00107257" w:rsidRDefault="00107257" w:rsidP="00540AEC">
            <w:pPr>
              <w:widowControl w:val="0"/>
              <w:spacing w:after="120" w:line="480" w:lineRule="auto"/>
            </w:pPr>
            <w:r w:rsidRPr="00561CC5">
              <w:rPr>
                <w:rFonts w:ascii="Arial" w:hAnsi="Arial" w:cs="Arial"/>
                <w:color w:val="000000"/>
                <w:sz w:val="15"/>
                <w:szCs w:val="15"/>
              </w:rPr>
              <w:t>0.258</w:t>
            </w:r>
          </w:p>
        </w:tc>
        <w:tc>
          <w:tcPr>
            <w:tcW w:w="960" w:type="dxa"/>
          </w:tcPr>
          <w:p w14:paraId="5DB01E9E" w14:textId="77777777" w:rsidR="00107257" w:rsidRDefault="00107257" w:rsidP="00540AEC">
            <w:pPr>
              <w:widowControl w:val="0"/>
              <w:spacing w:after="120" w:line="480" w:lineRule="auto"/>
            </w:pPr>
            <w:r w:rsidRPr="00FA0699">
              <w:rPr>
                <w:rFonts w:ascii="Arial" w:hAnsi="Arial" w:cs="Arial"/>
                <w:color w:val="000000"/>
                <w:sz w:val="16"/>
                <w:szCs w:val="16"/>
              </w:rPr>
              <w:t>0.70</w:t>
            </w:r>
          </w:p>
        </w:tc>
        <w:tc>
          <w:tcPr>
            <w:tcW w:w="1050" w:type="dxa"/>
          </w:tcPr>
          <w:p w14:paraId="48937CBF" w14:textId="77777777" w:rsidR="00107257" w:rsidRDefault="00107257" w:rsidP="00540AEC">
            <w:pPr>
              <w:widowControl w:val="0"/>
              <w:spacing w:after="120" w:line="480" w:lineRule="auto"/>
            </w:pPr>
            <w:r w:rsidRPr="00FA0699">
              <w:rPr>
                <w:rFonts w:ascii="Arial" w:hAnsi="Arial" w:cs="Arial"/>
                <w:color w:val="000000"/>
                <w:sz w:val="16"/>
                <w:szCs w:val="16"/>
              </w:rPr>
              <w:t>(0.38, 1.31)</w:t>
            </w:r>
          </w:p>
        </w:tc>
        <w:tc>
          <w:tcPr>
            <w:tcW w:w="1050" w:type="dxa"/>
          </w:tcPr>
          <w:p w14:paraId="5D25940F" w14:textId="77777777" w:rsidR="00107257" w:rsidRDefault="00107257" w:rsidP="00540AEC">
            <w:pPr>
              <w:widowControl w:val="0"/>
              <w:spacing w:after="120" w:line="480" w:lineRule="auto"/>
            </w:pPr>
            <w:r w:rsidRPr="00FA0699">
              <w:rPr>
                <w:rFonts w:ascii="Arial" w:hAnsi="Arial" w:cs="Arial"/>
                <w:color w:val="000000"/>
                <w:sz w:val="16"/>
                <w:szCs w:val="16"/>
              </w:rPr>
              <w:t>0.264</w:t>
            </w:r>
          </w:p>
        </w:tc>
      </w:tr>
      <w:tr w:rsidR="00107257" w14:paraId="3A9BE7D5" w14:textId="77777777" w:rsidTr="00540AEC">
        <w:tc>
          <w:tcPr>
            <w:tcW w:w="2337" w:type="dxa"/>
          </w:tcPr>
          <w:p w14:paraId="7E61DFC3" w14:textId="77777777" w:rsidR="00107257" w:rsidRDefault="00107257" w:rsidP="00540AEC">
            <w:pPr>
              <w:widowControl w:val="0"/>
              <w:spacing w:after="120" w:line="480" w:lineRule="auto"/>
            </w:pPr>
            <w:r w:rsidRPr="00FA0699">
              <w:rPr>
                <w:rFonts w:ascii="Arial" w:hAnsi="Arial" w:cs="Arial"/>
                <w:color w:val="000000"/>
                <w:sz w:val="16"/>
                <w:szCs w:val="16"/>
              </w:rPr>
              <w:t xml:space="preserve">    Readmissions</w:t>
            </w:r>
          </w:p>
        </w:tc>
        <w:tc>
          <w:tcPr>
            <w:tcW w:w="779" w:type="dxa"/>
          </w:tcPr>
          <w:p w14:paraId="0BD22DE2" w14:textId="77777777" w:rsidR="00107257" w:rsidRDefault="00107257" w:rsidP="00540AEC">
            <w:pPr>
              <w:widowControl w:val="0"/>
              <w:spacing w:after="120" w:line="480" w:lineRule="auto"/>
            </w:pPr>
            <w:r w:rsidRPr="00561CC5">
              <w:rPr>
                <w:rFonts w:ascii="Arial" w:hAnsi="Arial" w:cs="Arial"/>
                <w:color w:val="000000"/>
                <w:sz w:val="15"/>
                <w:szCs w:val="15"/>
              </w:rPr>
              <w:t>0.44</w:t>
            </w:r>
          </w:p>
        </w:tc>
        <w:tc>
          <w:tcPr>
            <w:tcW w:w="779" w:type="dxa"/>
          </w:tcPr>
          <w:p w14:paraId="1936FC43" w14:textId="77777777" w:rsidR="00107257" w:rsidRDefault="00107257" w:rsidP="00540AEC">
            <w:pPr>
              <w:widowControl w:val="0"/>
              <w:spacing w:after="120" w:line="480" w:lineRule="auto"/>
            </w:pPr>
            <w:r w:rsidRPr="00561CC5">
              <w:rPr>
                <w:rFonts w:ascii="Arial" w:hAnsi="Arial" w:cs="Arial"/>
                <w:color w:val="000000"/>
                <w:sz w:val="15"/>
                <w:szCs w:val="15"/>
              </w:rPr>
              <w:t>(0.20, 0.93)</w:t>
            </w:r>
          </w:p>
        </w:tc>
        <w:tc>
          <w:tcPr>
            <w:tcW w:w="870" w:type="dxa"/>
          </w:tcPr>
          <w:p w14:paraId="6D7862EA" w14:textId="77777777" w:rsidR="00107257" w:rsidRPr="00254156" w:rsidRDefault="00107257" w:rsidP="00540AEC">
            <w:pPr>
              <w:widowControl w:val="0"/>
              <w:spacing w:after="120" w:line="480" w:lineRule="auto"/>
              <w:rPr>
                <w:b/>
                <w:bCs/>
              </w:rPr>
            </w:pPr>
            <w:r w:rsidRPr="00254156">
              <w:rPr>
                <w:rFonts w:ascii="Arial" w:hAnsi="Arial" w:cs="Arial"/>
                <w:b/>
                <w:bCs/>
                <w:color w:val="000000"/>
                <w:sz w:val="15"/>
                <w:szCs w:val="15"/>
              </w:rPr>
              <w:t>0.033</w:t>
            </w:r>
          </w:p>
        </w:tc>
        <w:tc>
          <w:tcPr>
            <w:tcW w:w="960" w:type="dxa"/>
          </w:tcPr>
          <w:p w14:paraId="3E779D46" w14:textId="77777777" w:rsidR="00107257" w:rsidRDefault="00107257" w:rsidP="00540AEC">
            <w:pPr>
              <w:widowControl w:val="0"/>
              <w:spacing w:after="120" w:line="480" w:lineRule="auto"/>
            </w:pPr>
            <w:r w:rsidRPr="00FA0699">
              <w:rPr>
                <w:rFonts w:ascii="Arial" w:hAnsi="Arial" w:cs="Arial"/>
                <w:color w:val="000000"/>
                <w:sz w:val="16"/>
                <w:szCs w:val="16"/>
              </w:rPr>
              <w:t>0.45</w:t>
            </w:r>
          </w:p>
        </w:tc>
        <w:tc>
          <w:tcPr>
            <w:tcW w:w="1050" w:type="dxa"/>
          </w:tcPr>
          <w:p w14:paraId="0DD9606C" w14:textId="77777777" w:rsidR="00107257" w:rsidRDefault="00107257" w:rsidP="00540AEC">
            <w:pPr>
              <w:widowControl w:val="0"/>
              <w:spacing w:after="120" w:line="480" w:lineRule="auto"/>
            </w:pPr>
            <w:r w:rsidRPr="00FA0699">
              <w:rPr>
                <w:rFonts w:ascii="Arial" w:hAnsi="Arial" w:cs="Arial"/>
                <w:color w:val="000000"/>
                <w:sz w:val="16"/>
                <w:szCs w:val="16"/>
              </w:rPr>
              <w:t>(0.21, 0.95)</w:t>
            </w:r>
          </w:p>
        </w:tc>
        <w:tc>
          <w:tcPr>
            <w:tcW w:w="1050" w:type="dxa"/>
          </w:tcPr>
          <w:p w14:paraId="6754C87A" w14:textId="77777777" w:rsidR="00107257" w:rsidRPr="00254156" w:rsidRDefault="00107257" w:rsidP="00540AEC">
            <w:pPr>
              <w:widowControl w:val="0"/>
              <w:spacing w:after="120" w:line="480" w:lineRule="auto"/>
              <w:rPr>
                <w:b/>
                <w:bCs/>
              </w:rPr>
            </w:pPr>
            <w:r w:rsidRPr="00254156">
              <w:rPr>
                <w:rFonts w:ascii="Arial" w:hAnsi="Arial" w:cs="Arial"/>
                <w:b/>
                <w:bCs/>
                <w:color w:val="000000"/>
                <w:sz w:val="16"/>
                <w:szCs w:val="16"/>
              </w:rPr>
              <w:t>0.037</w:t>
            </w:r>
          </w:p>
        </w:tc>
      </w:tr>
      <w:tr w:rsidR="00107257" w14:paraId="2B8BF827" w14:textId="77777777" w:rsidTr="00540AEC">
        <w:tc>
          <w:tcPr>
            <w:tcW w:w="2337" w:type="dxa"/>
          </w:tcPr>
          <w:p w14:paraId="0A19A55B" w14:textId="77777777" w:rsidR="00107257" w:rsidRDefault="00107257" w:rsidP="00540AEC">
            <w:pPr>
              <w:widowControl w:val="0"/>
              <w:spacing w:after="120" w:line="480" w:lineRule="auto"/>
            </w:pPr>
            <w:r w:rsidRPr="00FA0699">
              <w:rPr>
                <w:rFonts w:ascii="Arial" w:hAnsi="Arial" w:cs="Arial"/>
                <w:color w:val="000000"/>
                <w:sz w:val="16"/>
                <w:szCs w:val="16"/>
              </w:rPr>
              <w:t>Partial hospitalizations</w:t>
            </w:r>
          </w:p>
        </w:tc>
        <w:tc>
          <w:tcPr>
            <w:tcW w:w="779" w:type="dxa"/>
          </w:tcPr>
          <w:p w14:paraId="14E958C5" w14:textId="77777777" w:rsidR="00107257" w:rsidRDefault="00107257" w:rsidP="00540AEC">
            <w:pPr>
              <w:widowControl w:val="0"/>
              <w:spacing w:after="120" w:line="480" w:lineRule="auto"/>
            </w:pPr>
            <w:r w:rsidRPr="00561CC5">
              <w:rPr>
                <w:rFonts w:ascii="Arial" w:hAnsi="Arial" w:cs="Arial"/>
                <w:color w:val="000000"/>
                <w:sz w:val="15"/>
                <w:szCs w:val="15"/>
              </w:rPr>
              <w:t>N</w:t>
            </w:r>
            <w:r>
              <w:rPr>
                <w:rFonts w:ascii="Arial" w:hAnsi="Arial" w:cs="Arial"/>
                <w:color w:val="000000"/>
                <w:sz w:val="15"/>
                <w:szCs w:val="15"/>
              </w:rPr>
              <w:t>A</w:t>
            </w:r>
          </w:p>
        </w:tc>
        <w:tc>
          <w:tcPr>
            <w:tcW w:w="779" w:type="dxa"/>
          </w:tcPr>
          <w:p w14:paraId="56FF46B2" w14:textId="77777777" w:rsidR="00107257" w:rsidRDefault="00107257" w:rsidP="00540AEC">
            <w:pPr>
              <w:widowControl w:val="0"/>
              <w:spacing w:after="120" w:line="480" w:lineRule="auto"/>
            </w:pPr>
            <w:r w:rsidRPr="00561CC5">
              <w:rPr>
                <w:rFonts w:ascii="Arial" w:hAnsi="Arial" w:cs="Arial"/>
                <w:color w:val="000000"/>
                <w:sz w:val="15"/>
                <w:szCs w:val="15"/>
              </w:rPr>
              <w:t>N</w:t>
            </w:r>
            <w:r>
              <w:rPr>
                <w:rFonts w:ascii="Arial" w:hAnsi="Arial" w:cs="Arial"/>
                <w:color w:val="000000"/>
                <w:sz w:val="15"/>
                <w:szCs w:val="15"/>
              </w:rPr>
              <w:t>A</w:t>
            </w:r>
          </w:p>
        </w:tc>
        <w:tc>
          <w:tcPr>
            <w:tcW w:w="870" w:type="dxa"/>
          </w:tcPr>
          <w:p w14:paraId="1A47FF4C" w14:textId="77777777" w:rsidR="00107257" w:rsidRDefault="00107257" w:rsidP="00540AEC">
            <w:pPr>
              <w:widowControl w:val="0"/>
              <w:spacing w:after="120" w:line="480" w:lineRule="auto"/>
            </w:pPr>
            <w:r w:rsidRPr="00561CC5">
              <w:rPr>
                <w:rFonts w:ascii="Arial" w:hAnsi="Arial" w:cs="Arial"/>
                <w:color w:val="000000"/>
                <w:sz w:val="15"/>
                <w:szCs w:val="15"/>
              </w:rPr>
              <w:t>N</w:t>
            </w:r>
            <w:r>
              <w:rPr>
                <w:rFonts w:ascii="Arial" w:hAnsi="Arial" w:cs="Arial"/>
                <w:color w:val="000000"/>
                <w:sz w:val="15"/>
                <w:szCs w:val="15"/>
              </w:rPr>
              <w:t>A</w:t>
            </w:r>
          </w:p>
        </w:tc>
        <w:tc>
          <w:tcPr>
            <w:tcW w:w="960" w:type="dxa"/>
          </w:tcPr>
          <w:p w14:paraId="5719B7E9" w14:textId="77777777" w:rsidR="00107257" w:rsidRDefault="00107257" w:rsidP="00540AEC">
            <w:pPr>
              <w:widowControl w:val="0"/>
              <w:spacing w:after="120" w:line="480" w:lineRule="auto"/>
            </w:pPr>
            <w:r w:rsidRPr="00FA0699">
              <w:rPr>
                <w:rFonts w:ascii="Arial" w:hAnsi="Arial" w:cs="Arial"/>
                <w:color w:val="000000"/>
                <w:sz w:val="16"/>
                <w:szCs w:val="16"/>
              </w:rPr>
              <w:t>NA</w:t>
            </w:r>
          </w:p>
        </w:tc>
        <w:tc>
          <w:tcPr>
            <w:tcW w:w="1050" w:type="dxa"/>
          </w:tcPr>
          <w:p w14:paraId="10B1536B" w14:textId="77777777" w:rsidR="00107257" w:rsidRDefault="00107257" w:rsidP="00540AEC">
            <w:pPr>
              <w:widowControl w:val="0"/>
              <w:spacing w:after="120" w:line="480" w:lineRule="auto"/>
            </w:pPr>
            <w:r w:rsidRPr="00FA0699">
              <w:rPr>
                <w:rFonts w:ascii="Arial" w:hAnsi="Arial" w:cs="Arial"/>
                <w:color w:val="000000"/>
                <w:sz w:val="16"/>
                <w:szCs w:val="16"/>
              </w:rPr>
              <w:t>NA</w:t>
            </w:r>
          </w:p>
        </w:tc>
        <w:tc>
          <w:tcPr>
            <w:tcW w:w="1050" w:type="dxa"/>
          </w:tcPr>
          <w:p w14:paraId="7DD9E751" w14:textId="77777777" w:rsidR="00107257" w:rsidRDefault="00107257" w:rsidP="00540AEC">
            <w:pPr>
              <w:widowControl w:val="0"/>
              <w:spacing w:after="120" w:line="480" w:lineRule="auto"/>
            </w:pPr>
            <w:r w:rsidRPr="00FA0699">
              <w:rPr>
                <w:rFonts w:ascii="Arial" w:hAnsi="Arial" w:cs="Arial"/>
                <w:color w:val="000000"/>
                <w:sz w:val="16"/>
                <w:szCs w:val="16"/>
              </w:rPr>
              <w:t>NA</w:t>
            </w:r>
          </w:p>
        </w:tc>
      </w:tr>
      <w:tr w:rsidR="00107257" w14:paraId="54154D93" w14:textId="77777777" w:rsidTr="00540AEC">
        <w:tc>
          <w:tcPr>
            <w:tcW w:w="2337" w:type="dxa"/>
          </w:tcPr>
          <w:p w14:paraId="33BBAF09" w14:textId="77777777" w:rsidR="00107257" w:rsidRDefault="00107257" w:rsidP="00540AEC">
            <w:pPr>
              <w:widowControl w:val="0"/>
              <w:spacing w:after="120" w:line="480" w:lineRule="auto"/>
            </w:pPr>
            <w:r w:rsidRPr="00FA0699">
              <w:rPr>
                <w:rFonts w:ascii="Arial" w:hAnsi="Arial" w:cs="Arial"/>
                <w:color w:val="000000"/>
                <w:sz w:val="16"/>
                <w:szCs w:val="16"/>
              </w:rPr>
              <w:t xml:space="preserve">ED visits </w:t>
            </w:r>
          </w:p>
        </w:tc>
        <w:tc>
          <w:tcPr>
            <w:tcW w:w="779" w:type="dxa"/>
          </w:tcPr>
          <w:p w14:paraId="4236AEF5" w14:textId="77777777" w:rsidR="00107257" w:rsidRDefault="00107257" w:rsidP="00540AEC">
            <w:pPr>
              <w:widowControl w:val="0"/>
              <w:spacing w:after="120" w:line="480" w:lineRule="auto"/>
            </w:pPr>
            <w:r w:rsidRPr="00561CC5">
              <w:rPr>
                <w:rFonts w:ascii="Arial" w:hAnsi="Arial" w:cs="Arial"/>
                <w:color w:val="000000"/>
                <w:sz w:val="15"/>
                <w:szCs w:val="15"/>
              </w:rPr>
              <w:t>0.93</w:t>
            </w:r>
          </w:p>
        </w:tc>
        <w:tc>
          <w:tcPr>
            <w:tcW w:w="779" w:type="dxa"/>
          </w:tcPr>
          <w:p w14:paraId="46E2B9CE" w14:textId="77777777" w:rsidR="00107257" w:rsidRDefault="00107257" w:rsidP="00540AEC">
            <w:pPr>
              <w:widowControl w:val="0"/>
              <w:spacing w:after="120" w:line="480" w:lineRule="auto"/>
            </w:pPr>
            <w:r w:rsidRPr="00561CC5">
              <w:rPr>
                <w:rFonts w:ascii="Arial" w:hAnsi="Arial" w:cs="Arial"/>
                <w:color w:val="000000"/>
                <w:sz w:val="15"/>
                <w:szCs w:val="15"/>
              </w:rPr>
              <w:t>(0.79, 1.09)</w:t>
            </w:r>
          </w:p>
        </w:tc>
        <w:tc>
          <w:tcPr>
            <w:tcW w:w="870" w:type="dxa"/>
          </w:tcPr>
          <w:p w14:paraId="02FEF4A6" w14:textId="77777777" w:rsidR="00107257" w:rsidRDefault="00107257" w:rsidP="00540AEC">
            <w:pPr>
              <w:widowControl w:val="0"/>
              <w:spacing w:after="120" w:line="480" w:lineRule="auto"/>
            </w:pPr>
            <w:r w:rsidRPr="00561CC5">
              <w:rPr>
                <w:rFonts w:ascii="Arial" w:hAnsi="Arial" w:cs="Arial"/>
                <w:color w:val="000000"/>
                <w:sz w:val="15"/>
                <w:szCs w:val="15"/>
              </w:rPr>
              <w:t>0.386</w:t>
            </w:r>
          </w:p>
        </w:tc>
        <w:tc>
          <w:tcPr>
            <w:tcW w:w="960" w:type="dxa"/>
          </w:tcPr>
          <w:p w14:paraId="09FC2B7F" w14:textId="77777777" w:rsidR="00107257" w:rsidRDefault="00107257" w:rsidP="00540AEC">
            <w:pPr>
              <w:widowControl w:val="0"/>
              <w:spacing w:after="120" w:line="480" w:lineRule="auto"/>
            </w:pPr>
            <w:r w:rsidRPr="00FA0699">
              <w:rPr>
                <w:rFonts w:ascii="Arial" w:hAnsi="Arial" w:cs="Arial"/>
                <w:color w:val="000000"/>
                <w:sz w:val="16"/>
                <w:szCs w:val="16"/>
              </w:rPr>
              <w:t>0.92</w:t>
            </w:r>
          </w:p>
        </w:tc>
        <w:tc>
          <w:tcPr>
            <w:tcW w:w="1050" w:type="dxa"/>
          </w:tcPr>
          <w:p w14:paraId="2A1D5A8B" w14:textId="77777777" w:rsidR="00107257" w:rsidRDefault="00107257" w:rsidP="00540AEC">
            <w:pPr>
              <w:widowControl w:val="0"/>
              <w:spacing w:after="120" w:line="480" w:lineRule="auto"/>
            </w:pPr>
            <w:r w:rsidRPr="00FA0699">
              <w:rPr>
                <w:rFonts w:ascii="Arial" w:hAnsi="Arial" w:cs="Arial"/>
                <w:color w:val="000000"/>
                <w:sz w:val="16"/>
                <w:szCs w:val="16"/>
              </w:rPr>
              <w:t>(0.79, 1.08)</w:t>
            </w:r>
          </w:p>
        </w:tc>
        <w:tc>
          <w:tcPr>
            <w:tcW w:w="1050" w:type="dxa"/>
          </w:tcPr>
          <w:p w14:paraId="432741D4" w14:textId="77777777" w:rsidR="00107257" w:rsidRDefault="00107257" w:rsidP="00540AEC">
            <w:pPr>
              <w:widowControl w:val="0"/>
              <w:spacing w:after="120" w:line="480" w:lineRule="auto"/>
            </w:pPr>
            <w:r w:rsidRPr="00FA0699">
              <w:rPr>
                <w:rFonts w:ascii="Arial" w:hAnsi="Arial" w:cs="Arial"/>
                <w:color w:val="000000"/>
                <w:sz w:val="16"/>
                <w:szCs w:val="16"/>
              </w:rPr>
              <w:t>0.332</w:t>
            </w:r>
          </w:p>
        </w:tc>
      </w:tr>
      <w:tr w:rsidR="00107257" w14:paraId="2A5685C1" w14:textId="77777777" w:rsidTr="00540AEC">
        <w:tc>
          <w:tcPr>
            <w:tcW w:w="2337" w:type="dxa"/>
          </w:tcPr>
          <w:p w14:paraId="504DE39B" w14:textId="77777777" w:rsidR="00107257" w:rsidRDefault="00107257" w:rsidP="00540AEC">
            <w:pPr>
              <w:widowControl w:val="0"/>
              <w:spacing w:after="120" w:line="480" w:lineRule="auto"/>
            </w:pPr>
            <w:r w:rsidRPr="00FA0699">
              <w:rPr>
                <w:rFonts w:ascii="Arial" w:hAnsi="Arial" w:cs="Arial"/>
                <w:color w:val="000000"/>
                <w:sz w:val="16"/>
                <w:szCs w:val="16"/>
              </w:rPr>
              <w:t>HOPD visits</w:t>
            </w:r>
          </w:p>
        </w:tc>
        <w:tc>
          <w:tcPr>
            <w:tcW w:w="779" w:type="dxa"/>
          </w:tcPr>
          <w:p w14:paraId="57219E07" w14:textId="77777777" w:rsidR="00107257" w:rsidRDefault="00107257" w:rsidP="00540AEC">
            <w:pPr>
              <w:widowControl w:val="0"/>
              <w:spacing w:after="120" w:line="480" w:lineRule="auto"/>
            </w:pPr>
            <w:r w:rsidRPr="00561CC5">
              <w:rPr>
                <w:rFonts w:ascii="Arial" w:hAnsi="Arial" w:cs="Arial"/>
                <w:color w:val="000000"/>
                <w:sz w:val="15"/>
                <w:szCs w:val="15"/>
              </w:rPr>
              <w:t>1.06</w:t>
            </w:r>
          </w:p>
        </w:tc>
        <w:tc>
          <w:tcPr>
            <w:tcW w:w="779" w:type="dxa"/>
          </w:tcPr>
          <w:p w14:paraId="3FB861E3" w14:textId="77777777" w:rsidR="00107257" w:rsidRDefault="00107257" w:rsidP="00540AEC">
            <w:pPr>
              <w:widowControl w:val="0"/>
              <w:spacing w:after="120" w:line="480" w:lineRule="auto"/>
            </w:pPr>
            <w:r w:rsidRPr="00561CC5">
              <w:rPr>
                <w:rFonts w:ascii="Arial" w:hAnsi="Arial" w:cs="Arial"/>
                <w:color w:val="000000"/>
                <w:sz w:val="15"/>
                <w:szCs w:val="15"/>
              </w:rPr>
              <w:t>(0.54, 2.05)</w:t>
            </w:r>
          </w:p>
        </w:tc>
        <w:tc>
          <w:tcPr>
            <w:tcW w:w="870" w:type="dxa"/>
          </w:tcPr>
          <w:p w14:paraId="1F901829" w14:textId="77777777" w:rsidR="00107257" w:rsidRDefault="00107257" w:rsidP="00540AEC">
            <w:pPr>
              <w:widowControl w:val="0"/>
              <w:spacing w:after="120" w:line="480" w:lineRule="auto"/>
            </w:pPr>
            <w:r w:rsidRPr="00561CC5">
              <w:rPr>
                <w:rFonts w:ascii="Arial" w:hAnsi="Arial" w:cs="Arial"/>
                <w:color w:val="000000"/>
                <w:sz w:val="15"/>
                <w:szCs w:val="15"/>
              </w:rPr>
              <w:t>0.874</w:t>
            </w:r>
          </w:p>
        </w:tc>
        <w:tc>
          <w:tcPr>
            <w:tcW w:w="960" w:type="dxa"/>
          </w:tcPr>
          <w:p w14:paraId="75FB9670" w14:textId="77777777" w:rsidR="00107257" w:rsidRDefault="00107257" w:rsidP="00540AEC">
            <w:pPr>
              <w:widowControl w:val="0"/>
              <w:spacing w:after="120" w:line="480" w:lineRule="auto"/>
            </w:pPr>
            <w:r w:rsidRPr="00FA0699">
              <w:rPr>
                <w:rFonts w:ascii="Arial" w:hAnsi="Arial" w:cs="Arial"/>
                <w:color w:val="000000"/>
                <w:sz w:val="16"/>
                <w:szCs w:val="16"/>
              </w:rPr>
              <w:t>1.05</w:t>
            </w:r>
          </w:p>
        </w:tc>
        <w:tc>
          <w:tcPr>
            <w:tcW w:w="1050" w:type="dxa"/>
          </w:tcPr>
          <w:p w14:paraId="4FC733B5" w14:textId="77777777" w:rsidR="00107257" w:rsidRDefault="00107257" w:rsidP="00540AEC">
            <w:pPr>
              <w:widowControl w:val="0"/>
              <w:spacing w:after="120" w:line="480" w:lineRule="auto"/>
            </w:pPr>
            <w:r w:rsidRPr="00FA0699">
              <w:rPr>
                <w:rFonts w:ascii="Arial" w:hAnsi="Arial" w:cs="Arial"/>
                <w:color w:val="000000"/>
                <w:sz w:val="16"/>
                <w:szCs w:val="16"/>
              </w:rPr>
              <w:t>(0.50, 2.21)</w:t>
            </w:r>
          </w:p>
        </w:tc>
        <w:tc>
          <w:tcPr>
            <w:tcW w:w="1050" w:type="dxa"/>
          </w:tcPr>
          <w:p w14:paraId="28178BAF" w14:textId="77777777" w:rsidR="00107257" w:rsidRDefault="00107257" w:rsidP="00540AEC">
            <w:pPr>
              <w:widowControl w:val="0"/>
              <w:spacing w:after="120" w:line="480" w:lineRule="auto"/>
            </w:pPr>
            <w:r w:rsidRPr="00FA0699">
              <w:rPr>
                <w:rFonts w:ascii="Arial" w:hAnsi="Arial" w:cs="Arial"/>
                <w:color w:val="000000"/>
                <w:sz w:val="16"/>
                <w:szCs w:val="16"/>
              </w:rPr>
              <w:t>0.903</w:t>
            </w:r>
          </w:p>
        </w:tc>
      </w:tr>
      <w:tr w:rsidR="00840E2C" w14:paraId="0147E9A9" w14:textId="77777777" w:rsidTr="008A6128">
        <w:tc>
          <w:tcPr>
            <w:tcW w:w="7825" w:type="dxa"/>
            <w:gridSpan w:val="7"/>
          </w:tcPr>
          <w:p w14:paraId="552ED901" w14:textId="583DDCBA" w:rsidR="00840E2C" w:rsidRPr="008547B9" w:rsidRDefault="00840E2C" w:rsidP="008547B9">
            <w:pPr>
              <w:rPr>
                <w:sz w:val="16"/>
                <w:szCs w:val="16"/>
              </w:rPr>
            </w:pPr>
            <w:r w:rsidRPr="008547B9">
              <w:rPr>
                <w:rFonts w:ascii="Arial" w:hAnsi="Arial" w:cs="Arial"/>
                <w:color w:val="000000"/>
                <w:sz w:val="16"/>
                <w:szCs w:val="16"/>
              </w:rPr>
              <w:t>NA: not applicable.</w:t>
            </w:r>
            <w:r w:rsidR="008547B9" w:rsidRPr="008547B9">
              <w:rPr>
                <w:rFonts w:ascii="Arial" w:hAnsi="Arial" w:cs="Arial"/>
                <w:color w:val="000000"/>
                <w:sz w:val="16"/>
                <w:szCs w:val="16"/>
                <w:shd w:val="clear" w:color="auto" w:fill="FFFFFF"/>
              </w:rPr>
              <w:t xml:space="preserve"> Due to the small number of patients and/or visits, the binomial model could not be fit; thus, incidence is not calculated</w:t>
            </w:r>
            <w:r w:rsidR="008547B9">
              <w:rPr>
                <w:rFonts w:ascii="Arial" w:hAnsi="Arial" w:cs="Arial"/>
                <w:color w:val="000000"/>
                <w:sz w:val="16"/>
                <w:szCs w:val="16"/>
                <w:shd w:val="clear" w:color="auto" w:fill="FFFFFF"/>
              </w:rPr>
              <w:t>.</w:t>
            </w:r>
          </w:p>
        </w:tc>
      </w:tr>
    </w:tbl>
    <w:p w14:paraId="229B73AA" w14:textId="5820F35D" w:rsidR="00107257" w:rsidRPr="00F419ED" w:rsidRDefault="00107257" w:rsidP="00D83C99">
      <w:pPr>
        <w:rPr>
          <w:b/>
        </w:rPr>
      </w:pPr>
      <w:r w:rsidRPr="0007627A">
        <w:t xml:space="preserve">         </w:t>
      </w:r>
    </w:p>
    <w:sectPr w:rsidR="00107257" w:rsidRPr="00F419ED" w:rsidSect="006E2A1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296" w:right="1440" w:bottom="1296" w:left="1440" w:header="720" w:footer="720" w:gutter="0"/>
      <w:lnNumType w:countBy="1" w:restart="continuous"/>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C7719" w14:textId="77777777" w:rsidR="001469D4" w:rsidRDefault="001469D4">
      <w:r>
        <w:separator/>
      </w:r>
    </w:p>
  </w:endnote>
  <w:endnote w:type="continuationSeparator" w:id="0">
    <w:p w14:paraId="2A2C58F0" w14:textId="77777777" w:rsidR="001469D4" w:rsidRDefault="001469D4">
      <w:r>
        <w:continuationSeparator/>
      </w:r>
    </w:p>
  </w:endnote>
  <w:endnote w:type="continuationNotice" w:id="1">
    <w:p w14:paraId="3AB31912" w14:textId="77777777" w:rsidR="001469D4" w:rsidRDefault="00146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charset w:val="88"/>
    <w:family w:val="auto"/>
    <w:pitch w:val="default"/>
    <w:sig w:usb0="00002A87" w:usb1="08080000" w:usb2="00000010" w:usb3="00000000" w:csb0="001001FF" w:csb1="00000000"/>
  </w:font>
  <w:font w:name="LucidaSansUnicode">
    <w:altName w:val="Calibri"/>
    <w:charset w:val="00"/>
    <w:family w:val="swiss"/>
    <w:pitch w:val="default"/>
    <w:sig w:usb0="00000003" w:usb1="00000000" w:usb2="00000000" w:usb3="00000000" w:csb0="00000001" w:csb1="00000000"/>
  </w:font>
  <w:font w:name="Noto Sans Symbol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069132"/>
      <w:docPartObj>
        <w:docPartGallery w:val="Page Numbers (Bottom of Page)"/>
        <w:docPartUnique/>
      </w:docPartObj>
    </w:sdtPr>
    <w:sdtEndPr>
      <w:rPr>
        <w:rStyle w:val="PageNumber"/>
      </w:rPr>
    </w:sdtEndPr>
    <w:sdtContent>
      <w:p w14:paraId="3E25A9F1" w14:textId="6D9EDFC3" w:rsidR="005F3CA3" w:rsidRDefault="005F3CA3" w:rsidP="00911E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4600D" w14:textId="77777777" w:rsidR="005F3CA3" w:rsidRDefault="005F3CA3" w:rsidP="005F3C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4722366"/>
      <w:docPartObj>
        <w:docPartGallery w:val="Page Numbers (Bottom of Page)"/>
        <w:docPartUnique/>
      </w:docPartObj>
    </w:sdtPr>
    <w:sdtEndPr>
      <w:rPr>
        <w:rStyle w:val="PageNumber"/>
      </w:rPr>
    </w:sdtEndPr>
    <w:sdtContent>
      <w:p w14:paraId="2EE4C948" w14:textId="4E733F5A" w:rsidR="005F3CA3" w:rsidRDefault="005F3CA3" w:rsidP="00911E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0E48">
          <w:rPr>
            <w:rStyle w:val="PageNumber"/>
            <w:noProof/>
          </w:rPr>
          <w:t>3</w:t>
        </w:r>
        <w:r>
          <w:rPr>
            <w:rStyle w:val="PageNumber"/>
          </w:rPr>
          <w:fldChar w:fldCharType="end"/>
        </w:r>
      </w:p>
    </w:sdtContent>
  </w:sdt>
  <w:p w14:paraId="5AF61DDF" w14:textId="77777777" w:rsidR="005F3CA3" w:rsidRDefault="005F3CA3" w:rsidP="005F3C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3DA2" w14:textId="77777777" w:rsidR="00B90E48" w:rsidRDefault="00B9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7B42" w14:textId="77777777" w:rsidR="001469D4" w:rsidRDefault="001469D4">
      <w:r>
        <w:separator/>
      </w:r>
    </w:p>
  </w:footnote>
  <w:footnote w:type="continuationSeparator" w:id="0">
    <w:p w14:paraId="6AD07984" w14:textId="77777777" w:rsidR="001469D4" w:rsidRDefault="001469D4">
      <w:r>
        <w:continuationSeparator/>
      </w:r>
    </w:p>
  </w:footnote>
  <w:footnote w:type="continuationNotice" w:id="1">
    <w:p w14:paraId="61565D36" w14:textId="77777777" w:rsidR="001469D4" w:rsidRDefault="001469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B0C6" w14:textId="63E7187C" w:rsidR="00B90E48" w:rsidRDefault="00B90E48">
    <w:pPr>
      <w:pStyle w:val="Header"/>
    </w:pPr>
    <w:r>
      <w:rPr>
        <w:noProof/>
      </w:rPr>
      <w:pict w14:anchorId="62AB6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391391" o:spid="_x0000_s2050" type="#_x0000_t136" style="position:absolute;margin-left:0;margin-top:0;width:590.4pt;height:69.45pt;rotation:315;z-index:-251655168;mso-position-horizontal:center;mso-position-horizontal-relative:margin;mso-position-vertical:center;mso-position-vertical-relative:margin" o:allowincell="f" fillcolor="silver" stroked="f">
          <v:fill opacity=".5"/>
          <v:textpath style="font-family:&quot;Times New Roman&quot;;font-size:1pt" string="Pre-typeset proo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6F84" w14:textId="6C70B612" w:rsidR="00B90E48" w:rsidRDefault="00B90E48">
    <w:pPr>
      <w:pStyle w:val="Header"/>
    </w:pPr>
    <w:r>
      <w:rPr>
        <w:noProof/>
      </w:rPr>
      <w:pict w14:anchorId="178F3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391392" o:spid="_x0000_s2051" type="#_x0000_t136" style="position:absolute;margin-left:0;margin-top:0;width:590.4pt;height:69.45pt;rotation:315;z-index:-251653120;mso-position-horizontal:center;mso-position-horizontal-relative:margin;mso-position-vertical:center;mso-position-vertical-relative:margin" o:allowincell="f" fillcolor="silver" stroked="f">
          <v:fill opacity=".5"/>
          <v:textpath style="font-family:&quot;Times New Roman&quot;;font-size:1pt" string="Pre-typeset proo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CBB2" w14:textId="01EE568D" w:rsidR="00B90E48" w:rsidRDefault="00B90E48">
    <w:pPr>
      <w:pStyle w:val="Header"/>
    </w:pPr>
    <w:r>
      <w:rPr>
        <w:noProof/>
      </w:rPr>
      <w:pict w14:anchorId="76A3B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391390" o:spid="_x0000_s2049" type="#_x0000_t136" style="position:absolute;margin-left:0;margin-top:0;width:590.4pt;height:69.45pt;rotation:315;z-index:-251657216;mso-position-horizontal:center;mso-position-horizontal-relative:margin;mso-position-vertical:center;mso-position-vertical-relative:margin" o:allowincell="f" fillcolor="silver" stroked="f">
          <v:fill opacity=".5"/>
          <v:textpath style="font-family:&quot;Times New Roman&quot;;font-size:1pt" string="Pre-typeset proo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B25"/>
    <w:multiLevelType w:val="hybridMultilevel"/>
    <w:tmpl w:val="623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6ABF"/>
    <w:multiLevelType w:val="multilevel"/>
    <w:tmpl w:val="CB02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E52AE"/>
    <w:multiLevelType w:val="hybridMultilevel"/>
    <w:tmpl w:val="A332683A"/>
    <w:lvl w:ilvl="0" w:tplc="582850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36681"/>
    <w:multiLevelType w:val="hybridMultilevel"/>
    <w:tmpl w:val="547C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662E1"/>
    <w:multiLevelType w:val="hybridMultilevel"/>
    <w:tmpl w:val="5B4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350BD"/>
    <w:multiLevelType w:val="hybridMultilevel"/>
    <w:tmpl w:val="557AB638"/>
    <w:lvl w:ilvl="0" w:tplc="ADA6331A">
      <w:numFmt w:val="bullet"/>
      <w:lvlText w:val=""/>
      <w:lvlJc w:val="left"/>
      <w:pPr>
        <w:ind w:left="1080" w:hanging="360"/>
      </w:pPr>
      <w:rPr>
        <w:rFonts w:ascii="SymbolMT" w:eastAsia="SymbolMT" w:hAnsi="LucidaSansUnicode"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B6358"/>
    <w:multiLevelType w:val="multilevel"/>
    <w:tmpl w:val="BFD257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9835C3"/>
    <w:multiLevelType w:val="hybridMultilevel"/>
    <w:tmpl w:val="8CC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91AB5"/>
    <w:multiLevelType w:val="multilevel"/>
    <w:tmpl w:val="B3E60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366D27"/>
    <w:multiLevelType w:val="hybridMultilevel"/>
    <w:tmpl w:val="982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676C"/>
    <w:multiLevelType w:val="hybridMultilevel"/>
    <w:tmpl w:val="EC8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92A28"/>
    <w:multiLevelType w:val="hybridMultilevel"/>
    <w:tmpl w:val="E998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10793"/>
    <w:multiLevelType w:val="hybridMultilevel"/>
    <w:tmpl w:val="6CDA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2F0595"/>
    <w:multiLevelType w:val="hybridMultilevel"/>
    <w:tmpl w:val="1D7215E6"/>
    <w:lvl w:ilvl="0" w:tplc="B4F6E306">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57C9F"/>
    <w:multiLevelType w:val="hybridMultilevel"/>
    <w:tmpl w:val="471A29B4"/>
    <w:lvl w:ilvl="0" w:tplc="ADA6331A">
      <w:numFmt w:val="bullet"/>
      <w:lvlText w:val=""/>
      <w:lvlJc w:val="left"/>
      <w:pPr>
        <w:ind w:left="1080" w:hanging="360"/>
      </w:pPr>
      <w:rPr>
        <w:rFonts w:ascii="SymbolMT" w:eastAsia="SymbolMT" w:hAnsi="LucidaSansUnicode"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F90A2C"/>
    <w:multiLevelType w:val="hybridMultilevel"/>
    <w:tmpl w:val="F3D8514C"/>
    <w:lvl w:ilvl="0" w:tplc="ADA6331A">
      <w:numFmt w:val="bullet"/>
      <w:lvlText w:val=""/>
      <w:lvlJc w:val="left"/>
      <w:pPr>
        <w:ind w:left="720" w:hanging="360"/>
      </w:pPr>
      <w:rPr>
        <w:rFonts w:ascii="SymbolMT" w:eastAsia="SymbolMT" w:hAnsi="LucidaSansUnicode"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63928"/>
    <w:multiLevelType w:val="multilevel"/>
    <w:tmpl w:val="D076F0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BF512D4"/>
    <w:multiLevelType w:val="hybridMultilevel"/>
    <w:tmpl w:val="0AF2555C"/>
    <w:lvl w:ilvl="0" w:tplc="0ED2D8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E4643"/>
    <w:multiLevelType w:val="hybridMultilevel"/>
    <w:tmpl w:val="8468FA54"/>
    <w:lvl w:ilvl="0" w:tplc="0ED2D8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5120D"/>
    <w:multiLevelType w:val="hybridMultilevel"/>
    <w:tmpl w:val="4F2A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76B3A"/>
    <w:multiLevelType w:val="hybridMultilevel"/>
    <w:tmpl w:val="BABA1AD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F2732"/>
    <w:multiLevelType w:val="multilevel"/>
    <w:tmpl w:val="BB2E7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CA2590"/>
    <w:multiLevelType w:val="hybridMultilevel"/>
    <w:tmpl w:val="60E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22295"/>
    <w:multiLevelType w:val="multilevel"/>
    <w:tmpl w:val="E96EA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6"/>
  </w:num>
  <w:num w:numId="3">
    <w:abstractNumId w:val="6"/>
  </w:num>
  <w:num w:numId="4">
    <w:abstractNumId w:val="23"/>
  </w:num>
  <w:num w:numId="5">
    <w:abstractNumId w:val="21"/>
  </w:num>
  <w:num w:numId="6">
    <w:abstractNumId w:val="11"/>
  </w:num>
  <w:num w:numId="7">
    <w:abstractNumId w:val="7"/>
  </w:num>
  <w:num w:numId="8">
    <w:abstractNumId w:val="13"/>
  </w:num>
  <w:num w:numId="9">
    <w:abstractNumId w:val="12"/>
  </w:num>
  <w:num w:numId="10">
    <w:abstractNumId w:val="19"/>
  </w:num>
  <w:num w:numId="11">
    <w:abstractNumId w:val="10"/>
  </w:num>
  <w:num w:numId="12">
    <w:abstractNumId w:val="15"/>
  </w:num>
  <w:num w:numId="13">
    <w:abstractNumId w:val="5"/>
  </w:num>
  <w:num w:numId="14">
    <w:abstractNumId w:val="14"/>
  </w:num>
  <w:num w:numId="15">
    <w:abstractNumId w:val="3"/>
  </w:num>
  <w:num w:numId="16">
    <w:abstractNumId w:val="4"/>
  </w:num>
  <w:num w:numId="17">
    <w:abstractNumId w:val="0"/>
  </w:num>
  <w:num w:numId="18">
    <w:abstractNumId w:val="9"/>
  </w:num>
  <w:num w:numId="19">
    <w:abstractNumId w:val="22"/>
  </w:num>
  <w:num w:numId="20">
    <w:abstractNumId w:val="2"/>
  </w:num>
  <w:num w:numId="21">
    <w:abstractNumId w:val="20"/>
  </w:num>
  <w:num w:numId="22">
    <w:abstractNumId w:val="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0&lt;/FontSize&gt;&lt;ReflistTitle&gt;&lt;/ReflistTitle&gt;&lt;StartingRefnum&gt;1&lt;/StartingRefnum&gt;&lt;FirstLineIndent&gt;0&lt;/FirstLineIndent&gt;&lt;HangingIndent&gt;288&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9z2t9av26xzf2yew5tv5wsvd55zdwzx0t5rr&quot;&gt;Pear-Converted&lt;record-ids&gt;&lt;item&gt;8&lt;/item&gt;&lt;item&gt;14&lt;/item&gt;&lt;item&gt;29&lt;/item&gt;&lt;item&gt;45&lt;/item&gt;&lt;item&gt;344&lt;/item&gt;&lt;item&gt;379&lt;/item&gt;&lt;item&gt;380&lt;/item&gt;&lt;item&gt;383&lt;/item&gt;&lt;item&gt;385&lt;/item&gt;&lt;item&gt;389&lt;/item&gt;&lt;item&gt;394&lt;/item&gt;&lt;item&gt;460&lt;/item&gt;&lt;item&gt;471&lt;/item&gt;&lt;item&gt;517&lt;/item&gt;&lt;item&gt;520&lt;/item&gt;&lt;item&gt;522&lt;/item&gt;&lt;item&gt;526&lt;/item&gt;&lt;item&gt;532&lt;/item&gt;&lt;item&gt;575&lt;/item&gt;&lt;item&gt;592&lt;/item&gt;&lt;item&gt;670&lt;/item&gt;&lt;item&gt;671&lt;/item&gt;&lt;item&gt;672&lt;/item&gt;&lt;item&gt;678&lt;/item&gt;&lt;item&gt;693&lt;/item&gt;&lt;/record-ids&gt;&lt;/item&gt;&lt;/Libraries&gt;"/>
  </w:docVars>
  <w:rsids>
    <w:rsidRoot w:val="00C53979"/>
    <w:rsid w:val="000023D6"/>
    <w:rsid w:val="0000250B"/>
    <w:rsid w:val="00006019"/>
    <w:rsid w:val="00010FBC"/>
    <w:rsid w:val="000126DD"/>
    <w:rsid w:val="00012F6F"/>
    <w:rsid w:val="00015492"/>
    <w:rsid w:val="00015544"/>
    <w:rsid w:val="000174E9"/>
    <w:rsid w:val="000219D2"/>
    <w:rsid w:val="00026814"/>
    <w:rsid w:val="0003007C"/>
    <w:rsid w:val="00030687"/>
    <w:rsid w:val="0003119A"/>
    <w:rsid w:val="00032BEC"/>
    <w:rsid w:val="00033203"/>
    <w:rsid w:val="0003422F"/>
    <w:rsid w:val="00036479"/>
    <w:rsid w:val="00036911"/>
    <w:rsid w:val="00043E56"/>
    <w:rsid w:val="00044DCE"/>
    <w:rsid w:val="00044FB2"/>
    <w:rsid w:val="00045011"/>
    <w:rsid w:val="00046A24"/>
    <w:rsid w:val="00047091"/>
    <w:rsid w:val="00047FA5"/>
    <w:rsid w:val="00052B44"/>
    <w:rsid w:val="000537CB"/>
    <w:rsid w:val="0005459A"/>
    <w:rsid w:val="00054FA8"/>
    <w:rsid w:val="00055C6C"/>
    <w:rsid w:val="000563CA"/>
    <w:rsid w:val="00056A4B"/>
    <w:rsid w:val="00062FF7"/>
    <w:rsid w:val="000634CD"/>
    <w:rsid w:val="00063819"/>
    <w:rsid w:val="00065093"/>
    <w:rsid w:val="0006512F"/>
    <w:rsid w:val="00067F6A"/>
    <w:rsid w:val="0007013C"/>
    <w:rsid w:val="00071E62"/>
    <w:rsid w:val="0007627A"/>
    <w:rsid w:val="00082E57"/>
    <w:rsid w:val="000875B1"/>
    <w:rsid w:val="000878E2"/>
    <w:rsid w:val="00087C39"/>
    <w:rsid w:val="000903B9"/>
    <w:rsid w:val="00090AF9"/>
    <w:rsid w:val="00093109"/>
    <w:rsid w:val="000931C3"/>
    <w:rsid w:val="000934F1"/>
    <w:rsid w:val="00094CC4"/>
    <w:rsid w:val="0009573F"/>
    <w:rsid w:val="00095914"/>
    <w:rsid w:val="00097ACE"/>
    <w:rsid w:val="000A0879"/>
    <w:rsid w:val="000A11BE"/>
    <w:rsid w:val="000A226D"/>
    <w:rsid w:val="000A3E96"/>
    <w:rsid w:val="000A4CE1"/>
    <w:rsid w:val="000A5FAC"/>
    <w:rsid w:val="000A6E05"/>
    <w:rsid w:val="000A75B4"/>
    <w:rsid w:val="000B4250"/>
    <w:rsid w:val="000B46E9"/>
    <w:rsid w:val="000B46F2"/>
    <w:rsid w:val="000B5EBD"/>
    <w:rsid w:val="000B65E9"/>
    <w:rsid w:val="000C1A62"/>
    <w:rsid w:val="000C2024"/>
    <w:rsid w:val="000C3182"/>
    <w:rsid w:val="000C354B"/>
    <w:rsid w:val="000C35DE"/>
    <w:rsid w:val="000C58A9"/>
    <w:rsid w:val="000D085C"/>
    <w:rsid w:val="000D122F"/>
    <w:rsid w:val="000D4B07"/>
    <w:rsid w:val="000D4B3C"/>
    <w:rsid w:val="000E04BC"/>
    <w:rsid w:val="000E26B0"/>
    <w:rsid w:val="000E2A63"/>
    <w:rsid w:val="000E3F3A"/>
    <w:rsid w:val="000E4376"/>
    <w:rsid w:val="000E51D5"/>
    <w:rsid w:val="000E62BB"/>
    <w:rsid w:val="000E7AF4"/>
    <w:rsid w:val="000F2672"/>
    <w:rsid w:val="000F3CFA"/>
    <w:rsid w:val="000F58AD"/>
    <w:rsid w:val="000F66AF"/>
    <w:rsid w:val="001020FF"/>
    <w:rsid w:val="00102E1B"/>
    <w:rsid w:val="001048AF"/>
    <w:rsid w:val="00104C0B"/>
    <w:rsid w:val="00107257"/>
    <w:rsid w:val="00112C3D"/>
    <w:rsid w:val="00115D7F"/>
    <w:rsid w:val="00117F41"/>
    <w:rsid w:val="00120142"/>
    <w:rsid w:val="00121425"/>
    <w:rsid w:val="00121678"/>
    <w:rsid w:val="00122037"/>
    <w:rsid w:val="001230C0"/>
    <w:rsid w:val="001230E5"/>
    <w:rsid w:val="0012496B"/>
    <w:rsid w:val="00124C06"/>
    <w:rsid w:val="0012783C"/>
    <w:rsid w:val="0013180D"/>
    <w:rsid w:val="001333A2"/>
    <w:rsid w:val="00134F36"/>
    <w:rsid w:val="001359F7"/>
    <w:rsid w:val="0013692D"/>
    <w:rsid w:val="00140CF6"/>
    <w:rsid w:val="00140E7D"/>
    <w:rsid w:val="00143AF2"/>
    <w:rsid w:val="001469D4"/>
    <w:rsid w:val="001506C2"/>
    <w:rsid w:val="00150886"/>
    <w:rsid w:val="001530A6"/>
    <w:rsid w:val="0015334E"/>
    <w:rsid w:val="001559EB"/>
    <w:rsid w:val="001606DF"/>
    <w:rsid w:val="00163986"/>
    <w:rsid w:val="0016456D"/>
    <w:rsid w:val="00164EF4"/>
    <w:rsid w:val="00167677"/>
    <w:rsid w:val="00171D11"/>
    <w:rsid w:val="00171ECD"/>
    <w:rsid w:val="001765A5"/>
    <w:rsid w:val="001770B2"/>
    <w:rsid w:val="00177BA1"/>
    <w:rsid w:val="00182822"/>
    <w:rsid w:val="00184069"/>
    <w:rsid w:val="0018423B"/>
    <w:rsid w:val="0018686E"/>
    <w:rsid w:val="00191707"/>
    <w:rsid w:val="00191E00"/>
    <w:rsid w:val="00191F86"/>
    <w:rsid w:val="001952D7"/>
    <w:rsid w:val="0019607A"/>
    <w:rsid w:val="001963C8"/>
    <w:rsid w:val="00196A66"/>
    <w:rsid w:val="001979D5"/>
    <w:rsid w:val="001A19E7"/>
    <w:rsid w:val="001A1F1E"/>
    <w:rsid w:val="001A2769"/>
    <w:rsid w:val="001A3550"/>
    <w:rsid w:val="001A3EEA"/>
    <w:rsid w:val="001B2604"/>
    <w:rsid w:val="001B3341"/>
    <w:rsid w:val="001B3B2B"/>
    <w:rsid w:val="001B447E"/>
    <w:rsid w:val="001B5A31"/>
    <w:rsid w:val="001B64FC"/>
    <w:rsid w:val="001B7783"/>
    <w:rsid w:val="001B7DC5"/>
    <w:rsid w:val="001C26A6"/>
    <w:rsid w:val="001C2764"/>
    <w:rsid w:val="001C55C4"/>
    <w:rsid w:val="001C5CD9"/>
    <w:rsid w:val="001C6901"/>
    <w:rsid w:val="001D057A"/>
    <w:rsid w:val="001D22B8"/>
    <w:rsid w:val="001D2476"/>
    <w:rsid w:val="001D256A"/>
    <w:rsid w:val="001D2C47"/>
    <w:rsid w:val="001D3519"/>
    <w:rsid w:val="001D46A4"/>
    <w:rsid w:val="001D6355"/>
    <w:rsid w:val="001D776F"/>
    <w:rsid w:val="001D7A67"/>
    <w:rsid w:val="001E01DA"/>
    <w:rsid w:val="001E147B"/>
    <w:rsid w:val="001E273F"/>
    <w:rsid w:val="001E3E3B"/>
    <w:rsid w:val="001E439C"/>
    <w:rsid w:val="001E4633"/>
    <w:rsid w:val="001E4672"/>
    <w:rsid w:val="001E6E25"/>
    <w:rsid w:val="001F0327"/>
    <w:rsid w:val="001F1200"/>
    <w:rsid w:val="001F40BE"/>
    <w:rsid w:val="001F454F"/>
    <w:rsid w:val="001F58A5"/>
    <w:rsid w:val="001F5DB9"/>
    <w:rsid w:val="001F6888"/>
    <w:rsid w:val="001F6922"/>
    <w:rsid w:val="002004D3"/>
    <w:rsid w:val="002005C7"/>
    <w:rsid w:val="00201968"/>
    <w:rsid w:val="00201AC2"/>
    <w:rsid w:val="00202030"/>
    <w:rsid w:val="00204576"/>
    <w:rsid w:val="00204F6D"/>
    <w:rsid w:val="00205E3D"/>
    <w:rsid w:val="002064AA"/>
    <w:rsid w:val="002071F6"/>
    <w:rsid w:val="002078E7"/>
    <w:rsid w:val="002105C9"/>
    <w:rsid w:val="002118E9"/>
    <w:rsid w:val="002129F6"/>
    <w:rsid w:val="002136C0"/>
    <w:rsid w:val="00221230"/>
    <w:rsid w:val="00224714"/>
    <w:rsid w:val="00224E1B"/>
    <w:rsid w:val="00224E8D"/>
    <w:rsid w:val="002255A5"/>
    <w:rsid w:val="002300EE"/>
    <w:rsid w:val="00230FC5"/>
    <w:rsid w:val="00231900"/>
    <w:rsid w:val="0023214E"/>
    <w:rsid w:val="002327E6"/>
    <w:rsid w:val="00235A85"/>
    <w:rsid w:val="002369FD"/>
    <w:rsid w:val="0024055D"/>
    <w:rsid w:val="00241C34"/>
    <w:rsid w:val="002421E0"/>
    <w:rsid w:val="00243887"/>
    <w:rsid w:val="002459C6"/>
    <w:rsid w:val="00245E61"/>
    <w:rsid w:val="0025029E"/>
    <w:rsid w:val="00250F7A"/>
    <w:rsid w:val="00253411"/>
    <w:rsid w:val="00254156"/>
    <w:rsid w:val="002541D9"/>
    <w:rsid w:val="00254210"/>
    <w:rsid w:val="00260692"/>
    <w:rsid w:val="002607EE"/>
    <w:rsid w:val="00266646"/>
    <w:rsid w:val="00267699"/>
    <w:rsid w:val="00277099"/>
    <w:rsid w:val="002770C2"/>
    <w:rsid w:val="00277330"/>
    <w:rsid w:val="002840AC"/>
    <w:rsid w:val="00285FF1"/>
    <w:rsid w:val="0028688C"/>
    <w:rsid w:val="002868A4"/>
    <w:rsid w:val="0028722F"/>
    <w:rsid w:val="00290432"/>
    <w:rsid w:val="00290B7B"/>
    <w:rsid w:val="00291D73"/>
    <w:rsid w:val="00293FAE"/>
    <w:rsid w:val="00294C77"/>
    <w:rsid w:val="002955EB"/>
    <w:rsid w:val="00295A55"/>
    <w:rsid w:val="00297A56"/>
    <w:rsid w:val="002A06C1"/>
    <w:rsid w:val="002A0DBB"/>
    <w:rsid w:val="002A133C"/>
    <w:rsid w:val="002A193C"/>
    <w:rsid w:val="002A471F"/>
    <w:rsid w:val="002B50D3"/>
    <w:rsid w:val="002B510A"/>
    <w:rsid w:val="002B534C"/>
    <w:rsid w:val="002B6EE5"/>
    <w:rsid w:val="002C082F"/>
    <w:rsid w:val="002C2F1D"/>
    <w:rsid w:val="002C36E4"/>
    <w:rsid w:val="002C40E6"/>
    <w:rsid w:val="002C420C"/>
    <w:rsid w:val="002C4849"/>
    <w:rsid w:val="002C4D78"/>
    <w:rsid w:val="002C698B"/>
    <w:rsid w:val="002D0AA9"/>
    <w:rsid w:val="002D4603"/>
    <w:rsid w:val="002D46AD"/>
    <w:rsid w:val="002D4E76"/>
    <w:rsid w:val="002D5024"/>
    <w:rsid w:val="002D72AA"/>
    <w:rsid w:val="002E013B"/>
    <w:rsid w:val="002E0C08"/>
    <w:rsid w:val="002E0D2C"/>
    <w:rsid w:val="002E200C"/>
    <w:rsid w:val="002E2790"/>
    <w:rsid w:val="002E4B40"/>
    <w:rsid w:val="002E7F4C"/>
    <w:rsid w:val="002F1B0D"/>
    <w:rsid w:val="002F242E"/>
    <w:rsid w:val="002F3D2C"/>
    <w:rsid w:val="002F5C56"/>
    <w:rsid w:val="002F7A2D"/>
    <w:rsid w:val="002F7BDF"/>
    <w:rsid w:val="002F7F1F"/>
    <w:rsid w:val="003002F1"/>
    <w:rsid w:val="003026D4"/>
    <w:rsid w:val="00302D89"/>
    <w:rsid w:val="003035FF"/>
    <w:rsid w:val="0030601B"/>
    <w:rsid w:val="00307DF5"/>
    <w:rsid w:val="00311230"/>
    <w:rsid w:val="003114DA"/>
    <w:rsid w:val="00311936"/>
    <w:rsid w:val="00312165"/>
    <w:rsid w:val="00313C4C"/>
    <w:rsid w:val="003140EA"/>
    <w:rsid w:val="0031515F"/>
    <w:rsid w:val="0032104A"/>
    <w:rsid w:val="00327BC0"/>
    <w:rsid w:val="00327DE1"/>
    <w:rsid w:val="00330231"/>
    <w:rsid w:val="00330F91"/>
    <w:rsid w:val="003313DF"/>
    <w:rsid w:val="00331E90"/>
    <w:rsid w:val="00332BC6"/>
    <w:rsid w:val="0033570A"/>
    <w:rsid w:val="00336E36"/>
    <w:rsid w:val="003452B7"/>
    <w:rsid w:val="00345E15"/>
    <w:rsid w:val="003530DB"/>
    <w:rsid w:val="0035516E"/>
    <w:rsid w:val="00355BCF"/>
    <w:rsid w:val="00357B02"/>
    <w:rsid w:val="0036156C"/>
    <w:rsid w:val="003616C9"/>
    <w:rsid w:val="0036301D"/>
    <w:rsid w:val="00367D04"/>
    <w:rsid w:val="00370182"/>
    <w:rsid w:val="003706F4"/>
    <w:rsid w:val="00372080"/>
    <w:rsid w:val="003723FC"/>
    <w:rsid w:val="00373685"/>
    <w:rsid w:val="00375B4E"/>
    <w:rsid w:val="003763DA"/>
    <w:rsid w:val="003801EA"/>
    <w:rsid w:val="003818F1"/>
    <w:rsid w:val="00384A7C"/>
    <w:rsid w:val="00385C18"/>
    <w:rsid w:val="0038632D"/>
    <w:rsid w:val="00386A62"/>
    <w:rsid w:val="00387E62"/>
    <w:rsid w:val="00391D05"/>
    <w:rsid w:val="00395B52"/>
    <w:rsid w:val="003961CB"/>
    <w:rsid w:val="00397493"/>
    <w:rsid w:val="003976BD"/>
    <w:rsid w:val="00397BA4"/>
    <w:rsid w:val="003A04B8"/>
    <w:rsid w:val="003A15CD"/>
    <w:rsid w:val="003A55B2"/>
    <w:rsid w:val="003A7EDD"/>
    <w:rsid w:val="003B0665"/>
    <w:rsid w:val="003B64A3"/>
    <w:rsid w:val="003C0D58"/>
    <w:rsid w:val="003C117D"/>
    <w:rsid w:val="003C234E"/>
    <w:rsid w:val="003C275E"/>
    <w:rsid w:val="003C2AA3"/>
    <w:rsid w:val="003C62F5"/>
    <w:rsid w:val="003C6E73"/>
    <w:rsid w:val="003D1FB4"/>
    <w:rsid w:val="003D727F"/>
    <w:rsid w:val="003E054B"/>
    <w:rsid w:val="003E0DB1"/>
    <w:rsid w:val="003E1674"/>
    <w:rsid w:val="003E2E42"/>
    <w:rsid w:val="003E3E1A"/>
    <w:rsid w:val="003E3E26"/>
    <w:rsid w:val="003E5D65"/>
    <w:rsid w:val="003E77B7"/>
    <w:rsid w:val="003E7E4B"/>
    <w:rsid w:val="003F0CC4"/>
    <w:rsid w:val="003F10A0"/>
    <w:rsid w:val="003F17A0"/>
    <w:rsid w:val="004005FB"/>
    <w:rsid w:val="00400CC7"/>
    <w:rsid w:val="0040424D"/>
    <w:rsid w:val="00404C2F"/>
    <w:rsid w:val="004059EC"/>
    <w:rsid w:val="00405A59"/>
    <w:rsid w:val="004077CE"/>
    <w:rsid w:val="004107BB"/>
    <w:rsid w:val="00411446"/>
    <w:rsid w:val="00414C09"/>
    <w:rsid w:val="004201E3"/>
    <w:rsid w:val="00420618"/>
    <w:rsid w:val="00422A51"/>
    <w:rsid w:val="00423AF5"/>
    <w:rsid w:val="004253D9"/>
    <w:rsid w:val="00425C43"/>
    <w:rsid w:val="00427BA6"/>
    <w:rsid w:val="00432CCA"/>
    <w:rsid w:val="004349B7"/>
    <w:rsid w:val="004366D9"/>
    <w:rsid w:val="00437D56"/>
    <w:rsid w:val="0044218B"/>
    <w:rsid w:val="00442A25"/>
    <w:rsid w:val="00443B2F"/>
    <w:rsid w:val="00447272"/>
    <w:rsid w:val="0045241B"/>
    <w:rsid w:val="00455401"/>
    <w:rsid w:val="00455C8C"/>
    <w:rsid w:val="00457768"/>
    <w:rsid w:val="00460388"/>
    <w:rsid w:val="00460F04"/>
    <w:rsid w:val="00460FE3"/>
    <w:rsid w:val="00463F12"/>
    <w:rsid w:val="00464306"/>
    <w:rsid w:val="0046539C"/>
    <w:rsid w:val="0046580F"/>
    <w:rsid w:val="00465913"/>
    <w:rsid w:val="00470555"/>
    <w:rsid w:val="0047216E"/>
    <w:rsid w:val="00472B89"/>
    <w:rsid w:val="00472D76"/>
    <w:rsid w:val="0047546C"/>
    <w:rsid w:val="004755AF"/>
    <w:rsid w:val="004755BC"/>
    <w:rsid w:val="00475E04"/>
    <w:rsid w:val="00482EA2"/>
    <w:rsid w:val="004838A0"/>
    <w:rsid w:val="00485FC8"/>
    <w:rsid w:val="004870A5"/>
    <w:rsid w:val="004901AF"/>
    <w:rsid w:val="004902DD"/>
    <w:rsid w:val="004903DE"/>
    <w:rsid w:val="0049242C"/>
    <w:rsid w:val="00494D0B"/>
    <w:rsid w:val="0049656D"/>
    <w:rsid w:val="004A0818"/>
    <w:rsid w:val="004A150C"/>
    <w:rsid w:val="004A1CC6"/>
    <w:rsid w:val="004A49C7"/>
    <w:rsid w:val="004B1A1C"/>
    <w:rsid w:val="004B1BA5"/>
    <w:rsid w:val="004B49D5"/>
    <w:rsid w:val="004B6919"/>
    <w:rsid w:val="004B7665"/>
    <w:rsid w:val="004B7983"/>
    <w:rsid w:val="004B7F1B"/>
    <w:rsid w:val="004C008C"/>
    <w:rsid w:val="004C0F4A"/>
    <w:rsid w:val="004C2319"/>
    <w:rsid w:val="004C3F3C"/>
    <w:rsid w:val="004C4245"/>
    <w:rsid w:val="004C483F"/>
    <w:rsid w:val="004C559D"/>
    <w:rsid w:val="004C5718"/>
    <w:rsid w:val="004C7BBB"/>
    <w:rsid w:val="004D1118"/>
    <w:rsid w:val="004D18E6"/>
    <w:rsid w:val="004D2372"/>
    <w:rsid w:val="004D47F4"/>
    <w:rsid w:val="004E27D7"/>
    <w:rsid w:val="004E55CF"/>
    <w:rsid w:val="004E61FC"/>
    <w:rsid w:val="004E623C"/>
    <w:rsid w:val="004E6D79"/>
    <w:rsid w:val="004F0893"/>
    <w:rsid w:val="004F185A"/>
    <w:rsid w:val="004F1B5B"/>
    <w:rsid w:val="004F34DC"/>
    <w:rsid w:val="004F5179"/>
    <w:rsid w:val="004F544A"/>
    <w:rsid w:val="004F5B2C"/>
    <w:rsid w:val="004F611D"/>
    <w:rsid w:val="004F63E9"/>
    <w:rsid w:val="005004C1"/>
    <w:rsid w:val="00501ED6"/>
    <w:rsid w:val="005020E6"/>
    <w:rsid w:val="0050277E"/>
    <w:rsid w:val="00502870"/>
    <w:rsid w:val="00502875"/>
    <w:rsid w:val="005038E4"/>
    <w:rsid w:val="005045F7"/>
    <w:rsid w:val="005104E2"/>
    <w:rsid w:val="005118DA"/>
    <w:rsid w:val="0051197C"/>
    <w:rsid w:val="005120DC"/>
    <w:rsid w:val="00514E2E"/>
    <w:rsid w:val="005170B1"/>
    <w:rsid w:val="005173A1"/>
    <w:rsid w:val="00522A96"/>
    <w:rsid w:val="00523351"/>
    <w:rsid w:val="005263CE"/>
    <w:rsid w:val="00536F9F"/>
    <w:rsid w:val="005409C4"/>
    <w:rsid w:val="00541FCE"/>
    <w:rsid w:val="0054349B"/>
    <w:rsid w:val="00543C54"/>
    <w:rsid w:val="005448C5"/>
    <w:rsid w:val="00545168"/>
    <w:rsid w:val="00546DA4"/>
    <w:rsid w:val="005504C8"/>
    <w:rsid w:val="00551E8D"/>
    <w:rsid w:val="00552EA6"/>
    <w:rsid w:val="00554360"/>
    <w:rsid w:val="00554584"/>
    <w:rsid w:val="005547CC"/>
    <w:rsid w:val="0055697F"/>
    <w:rsid w:val="00556F0B"/>
    <w:rsid w:val="005579D0"/>
    <w:rsid w:val="00557F57"/>
    <w:rsid w:val="0056001C"/>
    <w:rsid w:val="005610DA"/>
    <w:rsid w:val="00561CA5"/>
    <w:rsid w:val="00561CC5"/>
    <w:rsid w:val="00561E16"/>
    <w:rsid w:val="005621F0"/>
    <w:rsid w:val="00562805"/>
    <w:rsid w:val="00566144"/>
    <w:rsid w:val="005672AE"/>
    <w:rsid w:val="005678B4"/>
    <w:rsid w:val="0057185A"/>
    <w:rsid w:val="00571D1A"/>
    <w:rsid w:val="00572495"/>
    <w:rsid w:val="0057378D"/>
    <w:rsid w:val="00575EF6"/>
    <w:rsid w:val="005815F8"/>
    <w:rsid w:val="00582687"/>
    <w:rsid w:val="00582F66"/>
    <w:rsid w:val="005831F7"/>
    <w:rsid w:val="00583B6F"/>
    <w:rsid w:val="00585335"/>
    <w:rsid w:val="0058585A"/>
    <w:rsid w:val="00586159"/>
    <w:rsid w:val="005864C4"/>
    <w:rsid w:val="005919D9"/>
    <w:rsid w:val="00592AFE"/>
    <w:rsid w:val="005950E4"/>
    <w:rsid w:val="00595B3A"/>
    <w:rsid w:val="005966D9"/>
    <w:rsid w:val="00597D63"/>
    <w:rsid w:val="005A14FF"/>
    <w:rsid w:val="005A3BF2"/>
    <w:rsid w:val="005A54BD"/>
    <w:rsid w:val="005B0F6D"/>
    <w:rsid w:val="005B737D"/>
    <w:rsid w:val="005C47BC"/>
    <w:rsid w:val="005C4A28"/>
    <w:rsid w:val="005D0506"/>
    <w:rsid w:val="005D053F"/>
    <w:rsid w:val="005D0C83"/>
    <w:rsid w:val="005D1EF6"/>
    <w:rsid w:val="005D5DE2"/>
    <w:rsid w:val="005E080D"/>
    <w:rsid w:val="005E2361"/>
    <w:rsid w:val="005E533E"/>
    <w:rsid w:val="005E6CE3"/>
    <w:rsid w:val="005E7C5F"/>
    <w:rsid w:val="005F15D4"/>
    <w:rsid w:val="005F17F6"/>
    <w:rsid w:val="005F212D"/>
    <w:rsid w:val="005F3750"/>
    <w:rsid w:val="005F3CA3"/>
    <w:rsid w:val="005F46C5"/>
    <w:rsid w:val="005F534A"/>
    <w:rsid w:val="0060003A"/>
    <w:rsid w:val="006014D6"/>
    <w:rsid w:val="00601D71"/>
    <w:rsid w:val="006023F9"/>
    <w:rsid w:val="00604DFA"/>
    <w:rsid w:val="0060605A"/>
    <w:rsid w:val="00607E54"/>
    <w:rsid w:val="00610087"/>
    <w:rsid w:val="006111AC"/>
    <w:rsid w:val="0061294C"/>
    <w:rsid w:val="00612C1A"/>
    <w:rsid w:val="00613D6F"/>
    <w:rsid w:val="0061446A"/>
    <w:rsid w:val="0061464F"/>
    <w:rsid w:val="00614C49"/>
    <w:rsid w:val="006158A9"/>
    <w:rsid w:val="006217C5"/>
    <w:rsid w:val="0062226F"/>
    <w:rsid w:val="00625119"/>
    <w:rsid w:val="00625DC4"/>
    <w:rsid w:val="00626817"/>
    <w:rsid w:val="006308AF"/>
    <w:rsid w:val="00633714"/>
    <w:rsid w:val="006358A7"/>
    <w:rsid w:val="00635F83"/>
    <w:rsid w:val="00636580"/>
    <w:rsid w:val="0063731B"/>
    <w:rsid w:val="00640396"/>
    <w:rsid w:val="00640575"/>
    <w:rsid w:val="00640B26"/>
    <w:rsid w:val="00640CBB"/>
    <w:rsid w:val="00642E28"/>
    <w:rsid w:val="00643BA7"/>
    <w:rsid w:val="00651A2A"/>
    <w:rsid w:val="00651BC9"/>
    <w:rsid w:val="00651C6C"/>
    <w:rsid w:val="006523A7"/>
    <w:rsid w:val="00653237"/>
    <w:rsid w:val="00653D73"/>
    <w:rsid w:val="00654BC8"/>
    <w:rsid w:val="0065630F"/>
    <w:rsid w:val="0065678A"/>
    <w:rsid w:val="006571FB"/>
    <w:rsid w:val="006573EE"/>
    <w:rsid w:val="00660104"/>
    <w:rsid w:val="00661A4E"/>
    <w:rsid w:val="0066234E"/>
    <w:rsid w:val="006643F2"/>
    <w:rsid w:val="00665880"/>
    <w:rsid w:val="00667BFA"/>
    <w:rsid w:val="006708BB"/>
    <w:rsid w:val="006714CD"/>
    <w:rsid w:val="00671BA0"/>
    <w:rsid w:val="0067220A"/>
    <w:rsid w:val="0067351E"/>
    <w:rsid w:val="0067530C"/>
    <w:rsid w:val="006753A5"/>
    <w:rsid w:val="00680DCD"/>
    <w:rsid w:val="00681087"/>
    <w:rsid w:val="00682946"/>
    <w:rsid w:val="00682B87"/>
    <w:rsid w:val="00683C40"/>
    <w:rsid w:val="00684F78"/>
    <w:rsid w:val="006854DE"/>
    <w:rsid w:val="006862DD"/>
    <w:rsid w:val="00686C73"/>
    <w:rsid w:val="00690724"/>
    <w:rsid w:val="00690A50"/>
    <w:rsid w:val="00690B94"/>
    <w:rsid w:val="00690FBD"/>
    <w:rsid w:val="00692BBE"/>
    <w:rsid w:val="00694173"/>
    <w:rsid w:val="00695026"/>
    <w:rsid w:val="006A0210"/>
    <w:rsid w:val="006A12E5"/>
    <w:rsid w:val="006A14B3"/>
    <w:rsid w:val="006A173A"/>
    <w:rsid w:val="006A1D64"/>
    <w:rsid w:val="006A50EF"/>
    <w:rsid w:val="006A5234"/>
    <w:rsid w:val="006A5B4C"/>
    <w:rsid w:val="006B0AB7"/>
    <w:rsid w:val="006B223C"/>
    <w:rsid w:val="006B367C"/>
    <w:rsid w:val="006C1218"/>
    <w:rsid w:val="006C2828"/>
    <w:rsid w:val="006C2FE1"/>
    <w:rsid w:val="006C5172"/>
    <w:rsid w:val="006C54F1"/>
    <w:rsid w:val="006C6795"/>
    <w:rsid w:val="006C71A1"/>
    <w:rsid w:val="006D0851"/>
    <w:rsid w:val="006D2FF2"/>
    <w:rsid w:val="006D585A"/>
    <w:rsid w:val="006E128B"/>
    <w:rsid w:val="006E161C"/>
    <w:rsid w:val="006E166A"/>
    <w:rsid w:val="006E2A1D"/>
    <w:rsid w:val="006E5006"/>
    <w:rsid w:val="006F1614"/>
    <w:rsid w:val="006F469E"/>
    <w:rsid w:val="006F60AC"/>
    <w:rsid w:val="00702225"/>
    <w:rsid w:val="00705E5E"/>
    <w:rsid w:val="00711132"/>
    <w:rsid w:val="00711624"/>
    <w:rsid w:val="007116FE"/>
    <w:rsid w:val="0071575F"/>
    <w:rsid w:val="00715E65"/>
    <w:rsid w:val="007173BD"/>
    <w:rsid w:val="00720FAA"/>
    <w:rsid w:val="007218F1"/>
    <w:rsid w:val="00721D4A"/>
    <w:rsid w:val="00724927"/>
    <w:rsid w:val="007254A7"/>
    <w:rsid w:val="007301BD"/>
    <w:rsid w:val="00730DB4"/>
    <w:rsid w:val="007314B2"/>
    <w:rsid w:val="00731527"/>
    <w:rsid w:val="00731B21"/>
    <w:rsid w:val="00734513"/>
    <w:rsid w:val="00734515"/>
    <w:rsid w:val="007373D6"/>
    <w:rsid w:val="00743296"/>
    <w:rsid w:val="0074390C"/>
    <w:rsid w:val="007454AD"/>
    <w:rsid w:val="0074551F"/>
    <w:rsid w:val="007477A9"/>
    <w:rsid w:val="00750A0B"/>
    <w:rsid w:val="00750CBF"/>
    <w:rsid w:val="00750D06"/>
    <w:rsid w:val="00751A99"/>
    <w:rsid w:val="00755005"/>
    <w:rsid w:val="007559EE"/>
    <w:rsid w:val="00760E22"/>
    <w:rsid w:val="0076206B"/>
    <w:rsid w:val="00770CFA"/>
    <w:rsid w:val="00775FAF"/>
    <w:rsid w:val="00777C14"/>
    <w:rsid w:val="00786A4E"/>
    <w:rsid w:val="007876A5"/>
    <w:rsid w:val="00790157"/>
    <w:rsid w:val="00791DF4"/>
    <w:rsid w:val="00791E53"/>
    <w:rsid w:val="007933D1"/>
    <w:rsid w:val="00797537"/>
    <w:rsid w:val="007A19ED"/>
    <w:rsid w:val="007A1A8E"/>
    <w:rsid w:val="007A36AB"/>
    <w:rsid w:val="007A4800"/>
    <w:rsid w:val="007A603E"/>
    <w:rsid w:val="007A6E80"/>
    <w:rsid w:val="007B0CCD"/>
    <w:rsid w:val="007B3F19"/>
    <w:rsid w:val="007B5022"/>
    <w:rsid w:val="007C175D"/>
    <w:rsid w:val="007C33FB"/>
    <w:rsid w:val="007C40F1"/>
    <w:rsid w:val="007C4F31"/>
    <w:rsid w:val="007C7169"/>
    <w:rsid w:val="007C7BCD"/>
    <w:rsid w:val="007C7D94"/>
    <w:rsid w:val="007D0937"/>
    <w:rsid w:val="007D0EA6"/>
    <w:rsid w:val="007D2C7F"/>
    <w:rsid w:val="007D4A53"/>
    <w:rsid w:val="007D50BD"/>
    <w:rsid w:val="007D5CA4"/>
    <w:rsid w:val="007D629E"/>
    <w:rsid w:val="007D6602"/>
    <w:rsid w:val="007D6AAD"/>
    <w:rsid w:val="007E083B"/>
    <w:rsid w:val="007E19CF"/>
    <w:rsid w:val="007E261B"/>
    <w:rsid w:val="007E3D52"/>
    <w:rsid w:val="007E445B"/>
    <w:rsid w:val="007E5434"/>
    <w:rsid w:val="007E6763"/>
    <w:rsid w:val="007F0C19"/>
    <w:rsid w:val="007F2686"/>
    <w:rsid w:val="007F30FE"/>
    <w:rsid w:val="007F59E2"/>
    <w:rsid w:val="007F757B"/>
    <w:rsid w:val="007F76A7"/>
    <w:rsid w:val="008002B6"/>
    <w:rsid w:val="00800711"/>
    <w:rsid w:val="00800B32"/>
    <w:rsid w:val="00800EEC"/>
    <w:rsid w:val="00804302"/>
    <w:rsid w:val="00804F87"/>
    <w:rsid w:val="00811026"/>
    <w:rsid w:val="00812551"/>
    <w:rsid w:val="00813CF5"/>
    <w:rsid w:val="008154A9"/>
    <w:rsid w:val="008164E9"/>
    <w:rsid w:val="008167A3"/>
    <w:rsid w:val="00817D08"/>
    <w:rsid w:val="00817E4C"/>
    <w:rsid w:val="0082024F"/>
    <w:rsid w:val="00820B8F"/>
    <w:rsid w:val="00820F7E"/>
    <w:rsid w:val="00821AD3"/>
    <w:rsid w:val="00821FB4"/>
    <w:rsid w:val="00824AFD"/>
    <w:rsid w:val="00825894"/>
    <w:rsid w:val="00827D3B"/>
    <w:rsid w:val="00832F28"/>
    <w:rsid w:val="00833DD0"/>
    <w:rsid w:val="008369A8"/>
    <w:rsid w:val="00836AB3"/>
    <w:rsid w:val="00837A21"/>
    <w:rsid w:val="00837F55"/>
    <w:rsid w:val="00840E2C"/>
    <w:rsid w:val="00841051"/>
    <w:rsid w:val="0084237D"/>
    <w:rsid w:val="00843DFF"/>
    <w:rsid w:val="00843ED8"/>
    <w:rsid w:val="008447AA"/>
    <w:rsid w:val="00844943"/>
    <w:rsid w:val="008453E3"/>
    <w:rsid w:val="008454A6"/>
    <w:rsid w:val="0084554C"/>
    <w:rsid w:val="008460C6"/>
    <w:rsid w:val="00846EDA"/>
    <w:rsid w:val="00846F7B"/>
    <w:rsid w:val="00850548"/>
    <w:rsid w:val="008505CF"/>
    <w:rsid w:val="0085098A"/>
    <w:rsid w:val="00850CFA"/>
    <w:rsid w:val="0085122F"/>
    <w:rsid w:val="00851349"/>
    <w:rsid w:val="00851FCF"/>
    <w:rsid w:val="00852001"/>
    <w:rsid w:val="00853CA2"/>
    <w:rsid w:val="008547B9"/>
    <w:rsid w:val="00855B88"/>
    <w:rsid w:val="00857B3A"/>
    <w:rsid w:val="00861EE7"/>
    <w:rsid w:val="00863AFB"/>
    <w:rsid w:val="00864BBF"/>
    <w:rsid w:val="0086703A"/>
    <w:rsid w:val="00867AA5"/>
    <w:rsid w:val="008702A0"/>
    <w:rsid w:val="00870DE4"/>
    <w:rsid w:val="0087142D"/>
    <w:rsid w:val="00873D8E"/>
    <w:rsid w:val="00875589"/>
    <w:rsid w:val="00876CCA"/>
    <w:rsid w:val="008870FA"/>
    <w:rsid w:val="00887AC3"/>
    <w:rsid w:val="00890153"/>
    <w:rsid w:val="00890280"/>
    <w:rsid w:val="0089067E"/>
    <w:rsid w:val="00891322"/>
    <w:rsid w:val="008924AD"/>
    <w:rsid w:val="00893557"/>
    <w:rsid w:val="00894A51"/>
    <w:rsid w:val="00895F89"/>
    <w:rsid w:val="008979E4"/>
    <w:rsid w:val="008A07FB"/>
    <w:rsid w:val="008A30A3"/>
    <w:rsid w:val="008A3185"/>
    <w:rsid w:val="008A3A16"/>
    <w:rsid w:val="008A4F96"/>
    <w:rsid w:val="008A55AC"/>
    <w:rsid w:val="008A5B22"/>
    <w:rsid w:val="008A5F09"/>
    <w:rsid w:val="008A6FA7"/>
    <w:rsid w:val="008B1787"/>
    <w:rsid w:val="008B1CBA"/>
    <w:rsid w:val="008B371A"/>
    <w:rsid w:val="008B53E0"/>
    <w:rsid w:val="008B58D9"/>
    <w:rsid w:val="008B5BF4"/>
    <w:rsid w:val="008C184D"/>
    <w:rsid w:val="008C31D9"/>
    <w:rsid w:val="008C7A5F"/>
    <w:rsid w:val="008D1021"/>
    <w:rsid w:val="008D2E1E"/>
    <w:rsid w:val="008D2F0B"/>
    <w:rsid w:val="008D52E9"/>
    <w:rsid w:val="008E392A"/>
    <w:rsid w:val="008E3D4E"/>
    <w:rsid w:val="008E4602"/>
    <w:rsid w:val="008E59B7"/>
    <w:rsid w:val="008E5D7B"/>
    <w:rsid w:val="008E5EF5"/>
    <w:rsid w:val="008E7FD9"/>
    <w:rsid w:val="008F1970"/>
    <w:rsid w:val="008F5C9D"/>
    <w:rsid w:val="00900919"/>
    <w:rsid w:val="00902187"/>
    <w:rsid w:val="00902767"/>
    <w:rsid w:val="00903511"/>
    <w:rsid w:val="00904CF6"/>
    <w:rsid w:val="009062C1"/>
    <w:rsid w:val="00910E85"/>
    <w:rsid w:val="009156C2"/>
    <w:rsid w:val="00915C3A"/>
    <w:rsid w:val="00916ECF"/>
    <w:rsid w:val="00917137"/>
    <w:rsid w:val="0092193A"/>
    <w:rsid w:val="009230C8"/>
    <w:rsid w:val="00924650"/>
    <w:rsid w:val="00924801"/>
    <w:rsid w:val="00924AFE"/>
    <w:rsid w:val="009260E4"/>
    <w:rsid w:val="009265E9"/>
    <w:rsid w:val="009326E8"/>
    <w:rsid w:val="009331A4"/>
    <w:rsid w:val="00933C8C"/>
    <w:rsid w:val="0094060A"/>
    <w:rsid w:val="00942FDE"/>
    <w:rsid w:val="0094446C"/>
    <w:rsid w:val="00947723"/>
    <w:rsid w:val="009479B9"/>
    <w:rsid w:val="00951101"/>
    <w:rsid w:val="009514C3"/>
    <w:rsid w:val="00951A16"/>
    <w:rsid w:val="00956E7B"/>
    <w:rsid w:val="0096057B"/>
    <w:rsid w:val="009607D7"/>
    <w:rsid w:val="009613E7"/>
    <w:rsid w:val="00963211"/>
    <w:rsid w:val="009640D3"/>
    <w:rsid w:val="00964337"/>
    <w:rsid w:val="009657ED"/>
    <w:rsid w:val="0096744D"/>
    <w:rsid w:val="00970559"/>
    <w:rsid w:val="00971161"/>
    <w:rsid w:val="00972A36"/>
    <w:rsid w:val="00977307"/>
    <w:rsid w:val="00980269"/>
    <w:rsid w:val="00984AF3"/>
    <w:rsid w:val="009850CC"/>
    <w:rsid w:val="00985AE1"/>
    <w:rsid w:val="00987E31"/>
    <w:rsid w:val="00990AF5"/>
    <w:rsid w:val="00992CE1"/>
    <w:rsid w:val="00995380"/>
    <w:rsid w:val="009963FB"/>
    <w:rsid w:val="00996E76"/>
    <w:rsid w:val="009A10B9"/>
    <w:rsid w:val="009A26FB"/>
    <w:rsid w:val="009A2DB2"/>
    <w:rsid w:val="009A666F"/>
    <w:rsid w:val="009A6EB4"/>
    <w:rsid w:val="009A786F"/>
    <w:rsid w:val="009B34CE"/>
    <w:rsid w:val="009B3A41"/>
    <w:rsid w:val="009B3BC7"/>
    <w:rsid w:val="009B461E"/>
    <w:rsid w:val="009B4CB9"/>
    <w:rsid w:val="009B5775"/>
    <w:rsid w:val="009B5930"/>
    <w:rsid w:val="009B64ED"/>
    <w:rsid w:val="009B69E6"/>
    <w:rsid w:val="009C0DDF"/>
    <w:rsid w:val="009C0F89"/>
    <w:rsid w:val="009C1236"/>
    <w:rsid w:val="009C1922"/>
    <w:rsid w:val="009C555D"/>
    <w:rsid w:val="009D022A"/>
    <w:rsid w:val="009D0E05"/>
    <w:rsid w:val="009D3A90"/>
    <w:rsid w:val="009D3EFF"/>
    <w:rsid w:val="009D4C75"/>
    <w:rsid w:val="009E06EF"/>
    <w:rsid w:val="009E0957"/>
    <w:rsid w:val="009E10D9"/>
    <w:rsid w:val="009E3093"/>
    <w:rsid w:val="009E38F4"/>
    <w:rsid w:val="009E3CEA"/>
    <w:rsid w:val="009E7C0C"/>
    <w:rsid w:val="009F0E9F"/>
    <w:rsid w:val="009F19B6"/>
    <w:rsid w:val="009F30A3"/>
    <w:rsid w:val="009F564B"/>
    <w:rsid w:val="009F5AEA"/>
    <w:rsid w:val="009F6057"/>
    <w:rsid w:val="009F7AAD"/>
    <w:rsid w:val="009F7C3F"/>
    <w:rsid w:val="00A0070F"/>
    <w:rsid w:val="00A029CC"/>
    <w:rsid w:val="00A03B6B"/>
    <w:rsid w:val="00A03B9D"/>
    <w:rsid w:val="00A03D23"/>
    <w:rsid w:val="00A04863"/>
    <w:rsid w:val="00A062D6"/>
    <w:rsid w:val="00A06551"/>
    <w:rsid w:val="00A079DA"/>
    <w:rsid w:val="00A07DD5"/>
    <w:rsid w:val="00A1049F"/>
    <w:rsid w:val="00A137D2"/>
    <w:rsid w:val="00A15DD3"/>
    <w:rsid w:val="00A16059"/>
    <w:rsid w:val="00A173E1"/>
    <w:rsid w:val="00A20834"/>
    <w:rsid w:val="00A21235"/>
    <w:rsid w:val="00A236A8"/>
    <w:rsid w:val="00A25D23"/>
    <w:rsid w:val="00A260A4"/>
    <w:rsid w:val="00A26329"/>
    <w:rsid w:val="00A27AFF"/>
    <w:rsid w:val="00A320C4"/>
    <w:rsid w:val="00A32B11"/>
    <w:rsid w:val="00A4022B"/>
    <w:rsid w:val="00A405D4"/>
    <w:rsid w:val="00A40856"/>
    <w:rsid w:val="00A4134F"/>
    <w:rsid w:val="00A41F0B"/>
    <w:rsid w:val="00A42573"/>
    <w:rsid w:val="00A44BF0"/>
    <w:rsid w:val="00A45D6A"/>
    <w:rsid w:val="00A470CF"/>
    <w:rsid w:val="00A5009B"/>
    <w:rsid w:val="00A5081E"/>
    <w:rsid w:val="00A51984"/>
    <w:rsid w:val="00A51B75"/>
    <w:rsid w:val="00A51FFF"/>
    <w:rsid w:val="00A521E1"/>
    <w:rsid w:val="00A54509"/>
    <w:rsid w:val="00A57902"/>
    <w:rsid w:val="00A600CE"/>
    <w:rsid w:val="00A60EB0"/>
    <w:rsid w:val="00A61621"/>
    <w:rsid w:val="00A61BEF"/>
    <w:rsid w:val="00A63C00"/>
    <w:rsid w:val="00A66EF6"/>
    <w:rsid w:val="00A675EC"/>
    <w:rsid w:val="00A713F8"/>
    <w:rsid w:val="00A72041"/>
    <w:rsid w:val="00A721FB"/>
    <w:rsid w:val="00A72F4D"/>
    <w:rsid w:val="00A73376"/>
    <w:rsid w:val="00A7496A"/>
    <w:rsid w:val="00A81C10"/>
    <w:rsid w:val="00A83F41"/>
    <w:rsid w:val="00A83F45"/>
    <w:rsid w:val="00A859C3"/>
    <w:rsid w:val="00A86AAC"/>
    <w:rsid w:val="00A879FB"/>
    <w:rsid w:val="00A92DB0"/>
    <w:rsid w:val="00A930E0"/>
    <w:rsid w:val="00A94976"/>
    <w:rsid w:val="00A94AC3"/>
    <w:rsid w:val="00A94BA0"/>
    <w:rsid w:val="00A94DC2"/>
    <w:rsid w:val="00A9509D"/>
    <w:rsid w:val="00A96128"/>
    <w:rsid w:val="00A96561"/>
    <w:rsid w:val="00A969F0"/>
    <w:rsid w:val="00A96A32"/>
    <w:rsid w:val="00A96FEC"/>
    <w:rsid w:val="00AA497B"/>
    <w:rsid w:val="00AA56D0"/>
    <w:rsid w:val="00AA6340"/>
    <w:rsid w:val="00AA6F96"/>
    <w:rsid w:val="00AA7AE0"/>
    <w:rsid w:val="00AB0DC6"/>
    <w:rsid w:val="00AB1454"/>
    <w:rsid w:val="00AB302D"/>
    <w:rsid w:val="00AB5610"/>
    <w:rsid w:val="00AB770F"/>
    <w:rsid w:val="00AC35A5"/>
    <w:rsid w:val="00AD004A"/>
    <w:rsid w:val="00AD0ADD"/>
    <w:rsid w:val="00AD0AF5"/>
    <w:rsid w:val="00AD2C71"/>
    <w:rsid w:val="00AD2C7B"/>
    <w:rsid w:val="00AD4EF2"/>
    <w:rsid w:val="00AE0749"/>
    <w:rsid w:val="00AE0F4D"/>
    <w:rsid w:val="00AE6791"/>
    <w:rsid w:val="00AF3763"/>
    <w:rsid w:val="00AF4001"/>
    <w:rsid w:val="00AF748B"/>
    <w:rsid w:val="00AF7D13"/>
    <w:rsid w:val="00B00E93"/>
    <w:rsid w:val="00B0403F"/>
    <w:rsid w:val="00B06DA0"/>
    <w:rsid w:val="00B0791D"/>
    <w:rsid w:val="00B10DDC"/>
    <w:rsid w:val="00B11219"/>
    <w:rsid w:val="00B135E6"/>
    <w:rsid w:val="00B13B56"/>
    <w:rsid w:val="00B15D1F"/>
    <w:rsid w:val="00B15EA9"/>
    <w:rsid w:val="00B17708"/>
    <w:rsid w:val="00B17943"/>
    <w:rsid w:val="00B21724"/>
    <w:rsid w:val="00B22839"/>
    <w:rsid w:val="00B246C1"/>
    <w:rsid w:val="00B274B6"/>
    <w:rsid w:val="00B30248"/>
    <w:rsid w:val="00B3076D"/>
    <w:rsid w:val="00B329E6"/>
    <w:rsid w:val="00B3359B"/>
    <w:rsid w:val="00B35F2E"/>
    <w:rsid w:val="00B41A22"/>
    <w:rsid w:val="00B42E34"/>
    <w:rsid w:val="00B43E7B"/>
    <w:rsid w:val="00B44DB6"/>
    <w:rsid w:val="00B47561"/>
    <w:rsid w:val="00B47C14"/>
    <w:rsid w:val="00B5096A"/>
    <w:rsid w:val="00B5170F"/>
    <w:rsid w:val="00B535AB"/>
    <w:rsid w:val="00B53D0A"/>
    <w:rsid w:val="00B54981"/>
    <w:rsid w:val="00B54EC3"/>
    <w:rsid w:val="00B55097"/>
    <w:rsid w:val="00B56976"/>
    <w:rsid w:val="00B56FFA"/>
    <w:rsid w:val="00B5737E"/>
    <w:rsid w:val="00B57F82"/>
    <w:rsid w:val="00B60F67"/>
    <w:rsid w:val="00B61754"/>
    <w:rsid w:val="00B648EE"/>
    <w:rsid w:val="00B64A4C"/>
    <w:rsid w:val="00B64DD3"/>
    <w:rsid w:val="00B65B33"/>
    <w:rsid w:val="00B65B64"/>
    <w:rsid w:val="00B66BAA"/>
    <w:rsid w:val="00B758C5"/>
    <w:rsid w:val="00B75CA1"/>
    <w:rsid w:val="00B76890"/>
    <w:rsid w:val="00B77ABF"/>
    <w:rsid w:val="00B80132"/>
    <w:rsid w:val="00B8021E"/>
    <w:rsid w:val="00B8037F"/>
    <w:rsid w:val="00B8167F"/>
    <w:rsid w:val="00B817B7"/>
    <w:rsid w:val="00B817FF"/>
    <w:rsid w:val="00B82D4B"/>
    <w:rsid w:val="00B84545"/>
    <w:rsid w:val="00B84860"/>
    <w:rsid w:val="00B85DAC"/>
    <w:rsid w:val="00B86198"/>
    <w:rsid w:val="00B86810"/>
    <w:rsid w:val="00B874C1"/>
    <w:rsid w:val="00B87796"/>
    <w:rsid w:val="00B90E48"/>
    <w:rsid w:val="00B92941"/>
    <w:rsid w:val="00B92A54"/>
    <w:rsid w:val="00B93458"/>
    <w:rsid w:val="00B9519B"/>
    <w:rsid w:val="00B966F3"/>
    <w:rsid w:val="00B96BD0"/>
    <w:rsid w:val="00B96DA7"/>
    <w:rsid w:val="00B97313"/>
    <w:rsid w:val="00B973F2"/>
    <w:rsid w:val="00B97A79"/>
    <w:rsid w:val="00B97D09"/>
    <w:rsid w:val="00BA0F52"/>
    <w:rsid w:val="00BA125C"/>
    <w:rsid w:val="00BA1DE7"/>
    <w:rsid w:val="00BA3006"/>
    <w:rsid w:val="00BA3EF7"/>
    <w:rsid w:val="00BA486C"/>
    <w:rsid w:val="00BA55E0"/>
    <w:rsid w:val="00BA734D"/>
    <w:rsid w:val="00BA7926"/>
    <w:rsid w:val="00BB02AB"/>
    <w:rsid w:val="00BB1246"/>
    <w:rsid w:val="00BB641F"/>
    <w:rsid w:val="00BC0CAD"/>
    <w:rsid w:val="00BC26CF"/>
    <w:rsid w:val="00BC6167"/>
    <w:rsid w:val="00BC6BD2"/>
    <w:rsid w:val="00BC776A"/>
    <w:rsid w:val="00BD05E5"/>
    <w:rsid w:val="00BD1E61"/>
    <w:rsid w:val="00BD2B51"/>
    <w:rsid w:val="00BD2C52"/>
    <w:rsid w:val="00BD4860"/>
    <w:rsid w:val="00BD7CF1"/>
    <w:rsid w:val="00BE0C00"/>
    <w:rsid w:val="00BE1868"/>
    <w:rsid w:val="00BE2F65"/>
    <w:rsid w:val="00BF0A2F"/>
    <w:rsid w:val="00BF1C46"/>
    <w:rsid w:val="00BF3196"/>
    <w:rsid w:val="00BF34E8"/>
    <w:rsid w:val="00BF6724"/>
    <w:rsid w:val="00BF73CF"/>
    <w:rsid w:val="00BF78DD"/>
    <w:rsid w:val="00C0106F"/>
    <w:rsid w:val="00C01717"/>
    <w:rsid w:val="00C01961"/>
    <w:rsid w:val="00C02D19"/>
    <w:rsid w:val="00C0384C"/>
    <w:rsid w:val="00C04124"/>
    <w:rsid w:val="00C043EE"/>
    <w:rsid w:val="00C0552B"/>
    <w:rsid w:val="00C065F1"/>
    <w:rsid w:val="00C066E7"/>
    <w:rsid w:val="00C0705D"/>
    <w:rsid w:val="00C07AD5"/>
    <w:rsid w:val="00C116EE"/>
    <w:rsid w:val="00C11A27"/>
    <w:rsid w:val="00C134D3"/>
    <w:rsid w:val="00C1404B"/>
    <w:rsid w:val="00C14620"/>
    <w:rsid w:val="00C14883"/>
    <w:rsid w:val="00C14B19"/>
    <w:rsid w:val="00C16B32"/>
    <w:rsid w:val="00C17264"/>
    <w:rsid w:val="00C17588"/>
    <w:rsid w:val="00C20B73"/>
    <w:rsid w:val="00C20F4F"/>
    <w:rsid w:val="00C21E79"/>
    <w:rsid w:val="00C26CE4"/>
    <w:rsid w:val="00C30AE0"/>
    <w:rsid w:val="00C3360D"/>
    <w:rsid w:val="00C346EF"/>
    <w:rsid w:val="00C34AC0"/>
    <w:rsid w:val="00C3608A"/>
    <w:rsid w:val="00C37AC6"/>
    <w:rsid w:val="00C41704"/>
    <w:rsid w:val="00C42143"/>
    <w:rsid w:val="00C43460"/>
    <w:rsid w:val="00C43AB4"/>
    <w:rsid w:val="00C4535F"/>
    <w:rsid w:val="00C51D38"/>
    <w:rsid w:val="00C53979"/>
    <w:rsid w:val="00C63A6C"/>
    <w:rsid w:val="00C654F1"/>
    <w:rsid w:val="00C65E5B"/>
    <w:rsid w:val="00C665BE"/>
    <w:rsid w:val="00C70707"/>
    <w:rsid w:val="00C714F9"/>
    <w:rsid w:val="00C71A97"/>
    <w:rsid w:val="00C73A6E"/>
    <w:rsid w:val="00C760BE"/>
    <w:rsid w:val="00C8386D"/>
    <w:rsid w:val="00C83AF8"/>
    <w:rsid w:val="00C845D1"/>
    <w:rsid w:val="00C875EF"/>
    <w:rsid w:val="00C9261A"/>
    <w:rsid w:val="00C93270"/>
    <w:rsid w:val="00C96E42"/>
    <w:rsid w:val="00C975BB"/>
    <w:rsid w:val="00C97CB3"/>
    <w:rsid w:val="00CA15D3"/>
    <w:rsid w:val="00CA3057"/>
    <w:rsid w:val="00CA5C88"/>
    <w:rsid w:val="00CA7397"/>
    <w:rsid w:val="00CB0854"/>
    <w:rsid w:val="00CB1A62"/>
    <w:rsid w:val="00CB3688"/>
    <w:rsid w:val="00CB382A"/>
    <w:rsid w:val="00CB3B19"/>
    <w:rsid w:val="00CB4A7C"/>
    <w:rsid w:val="00CB4F9A"/>
    <w:rsid w:val="00CC0A59"/>
    <w:rsid w:val="00CC16BA"/>
    <w:rsid w:val="00CC25D8"/>
    <w:rsid w:val="00CC3B7E"/>
    <w:rsid w:val="00CC513F"/>
    <w:rsid w:val="00CC63A5"/>
    <w:rsid w:val="00CC64BA"/>
    <w:rsid w:val="00CC67F6"/>
    <w:rsid w:val="00CD1D8C"/>
    <w:rsid w:val="00CD444A"/>
    <w:rsid w:val="00CD559F"/>
    <w:rsid w:val="00CD62B1"/>
    <w:rsid w:val="00CD71E2"/>
    <w:rsid w:val="00CD7657"/>
    <w:rsid w:val="00CD7AD9"/>
    <w:rsid w:val="00CE1312"/>
    <w:rsid w:val="00CE1C20"/>
    <w:rsid w:val="00CE1D30"/>
    <w:rsid w:val="00CE2747"/>
    <w:rsid w:val="00CE3F0B"/>
    <w:rsid w:val="00CE49B8"/>
    <w:rsid w:val="00CF10FE"/>
    <w:rsid w:val="00CF2E35"/>
    <w:rsid w:val="00CF2F82"/>
    <w:rsid w:val="00CF3054"/>
    <w:rsid w:val="00CF49A0"/>
    <w:rsid w:val="00CF6FE2"/>
    <w:rsid w:val="00CF7CB1"/>
    <w:rsid w:val="00CF7F75"/>
    <w:rsid w:val="00D022DB"/>
    <w:rsid w:val="00D03897"/>
    <w:rsid w:val="00D0616F"/>
    <w:rsid w:val="00D06A07"/>
    <w:rsid w:val="00D078AA"/>
    <w:rsid w:val="00D10B46"/>
    <w:rsid w:val="00D11ED5"/>
    <w:rsid w:val="00D12247"/>
    <w:rsid w:val="00D13641"/>
    <w:rsid w:val="00D1427B"/>
    <w:rsid w:val="00D15AD0"/>
    <w:rsid w:val="00D2473C"/>
    <w:rsid w:val="00D24E05"/>
    <w:rsid w:val="00D3024A"/>
    <w:rsid w:val="00D32F49"/>
    <w:rsid w:val="00D33C53"/>
    <w:rsid w:val="00D34CFB"/>
    <w:rsid w:val="00D35BD7"/>
    <w:rsid w:val="00D3637A"/>
    <w:rsid w:val="00D372E7"/>
    <w:rsid w:val="00D372ED"/>
    <w:rsid w:val="00D37739"/>
    <w:rsid w:val="00D404FD"/>
    <w:rsid w:val="00D409BE"/>
    <w:rsid w:val="00D43FF8"/>
    <w:rsid w:val="00D44462"/>
    <w:rsid w:val="00D44819"/>
    <w:rsid w:val="00D44A59"/>
    <w:rsid w:val="00D45C3D"/>
    <w:rsid w:val="00D45F07"/>
    <w:rsid w:val="00D51B04"/>
    <w:rsid w:val="00D52317"/>
    <w:rsid w:val="00D52A7B"/>
    <w:rsid w:val="00D54BC6"/>
    <w:rsid w:val="00D56ADA"/>
    <w:rsid w:val="00D572F5"/>
    <w:rsid w:val="00D604DD"/>
    <w:rsid w:val="00D61759"/>
    <w:rsid w:val="00D61D76"/>
    <w:rsid w:val="00D61E6F"/>
    <w:rsid w:val="00D63015"/>
    <w:rsid w:val="00D63BC3"/>
    <w:rsid w:val="00D64495"/>
    <w:rsid w:val="00D65468"/>
    <w:rsid w:val="00D672A5"/>
    <w:rsid w:val="00D71FAC"/>
    <w:rsid w:val="00D72371"/>
    <w:rsid w:val="00D7363A"/>
    <w:rsid w:val="00D74246"/>
    <w:rsid w:val="00D76C21"/>
    <w:rsid w:val="00D776C8"/>
    <w:rsid w:val="00D778AD"/>
    <w:rsid w:val="00D80F4C"/>
    <w:rsid w:val="00D810D2"/>
    <w:rsid w:val="00D83C99"/>
    <w:rsid w:val="00D841E8"/>
    <w:rsid w:val="00D85D5C"/>
    <w:rsid w:val="00D87853"/>
    <w:rsid w:val="00D90883"/>
    <w:rsid w:val="00D91827"/>
    <w:rsid w:val="00D9327B"/>
    <w:rsid w:val="00DA0642"/>
    <w:rsid w:val="00DA1603"/>
    <w:rsid w:val="00DA1AEA"/>
    <w:rsid w:val="00DA44DA"/>
    <w:rsid w:val="00DA7D91"/>
    <w:rsid w:val="00DB1039"/>
    <w:rsid w:val="00DB27CD"/>
    <w:rsid w:val="00DB367F"/>
    <w:rsid w:val="00DB5740"/>
    <w:rsid w:val="00DB5A8E"/>
    <w:rsid w:val="00DB6625"/>
    <w:rsid w:val="00DB7BD0"/>
    <w:rsid w:val="00DC1120"/>
    <w:rsid w:val="00DC22B8"/>
    <w:rsid w:val="00DC3288"/>
    <w:rsid w:val="00DC4B21"/>
    <w:rsid w:val="00DC51E7"/>
    <w:rsid w:val="00DC6460"/>
    <w:rsid w:val="00DC7004"/>
    <w:rsid w:val="00DC718C"/>
    <w:rsid w:val="00DC7CC9"/>
    <w:rsid w:val="00DD6839"/>
    <w:rsid w:val="00DE0D7A"/>
    <w:rsid w:val="00DE4910"/>
    <w:rsid w:val="00DF0EB3"/>
    <w:rsid w:val="00DF2D28"/>
    <w:rsid w:val="00DF2D3C"/>
    <w:rsid w:val="00DF3DF6"/>
    <w:rsid w:val="00DF3EF6"/>
    <w:rsid w:val="00DF4017"/>
    <w:rsid w:val="00DF6309"/>
    <w:rsid w:val="00DF7744"/>
    <w:rsid w:val="00E0044D"/>
    <w:rsid w:val="00E016A0"/>
    <w:rsid w:val="00E01748"/>
    <w:rsid w:val="00E04B16"/>
    <w:rsid w:val="00E04DCD"/>
    <w:rsid w:val="00E05547"/>
    <w:rsid w:val="00E06FDF"/>
    <w:rsid w:val="00E079E2"/>
    <w:rsid w:val="00E129A9"/>
    <w:rsid w:val="00E143DB"/>
    <w:rsid w:val="00E1551E"/>
    <w:rsid w:val="00E15E3B"/>
    <w:rsid w:val="00E20479"/>
    <w:rsid w:val="00E2119B"/>
    <w:rsid w:val="00E23AF0"/>
    <w:rsid w:val="00E24BC4"/>
    <w:rsid w:val="00E26AB2"/>
    <w:rsid w:val="00E279DD"/>
    <w:rsid w:val="00E30DF8"/>
    <w:rsid w:val="00E31C7F"/>
    <w:rsid w:val="00E32755"/>
    <w:rsid w:val="00E36E0B"/>
    <w:rsid w:val="00E373AA"/>
    <w:rsid w:val="00E40A20"/>
    <w:rsid w:val="00E42C03"/>
    <w:rsid w:val="00E436E5"/>
    <w:rsid w:val="00E4685C"/>
    <w:rsid w:val="00E47549"/>
    <w:rsid w:val="00E50753"/>
    <w:rsid w:val="00E51583"/>
    <w:rsid w:val="00E54C3F"/>
    <w:rsid w:val="00E54FA1"/>
    <w:rsid w:val="00E551B3"/>
    <w:rsid w:val="00E5705F"/>
    <w:rsid w:val="00E606B8"/>
    <w:rsid w:val="00E676BB"/>
    <w:rsid w:val="00E67CE0"/>
    <w:rsid w:val="00E70809"/>
    <w:rsid w:val="00E7407A"/>
    <w:rsid w:val="00E761A1"/>
    <w:rsid w:val="00E7660E"/>
    <w:rsid w:val="00E767DD"/>
    <w:rsid w:val="00E76C5E"/>
    <w:rsid w:val="00E823DD"/>
    <w:rsid w:val="00E8507A"/>
    <w:rsid w:val="00E86B07"/>
    <w:rsid w:val="00E87252"/>
    <w:rsid w:val="00E87966"/>
    <w:rsid w:val="00E90B6E"/>
    <w:rsid w:val="00E93490"/>
    <w:rsid w:val="00E9356E"/>
    <w:rsid w:val="00E9391A"/>
    <w:rsid w:val="00E95A70"/>
    <w:rsid w:val="00E96286"/>
    <w:rsid w:val="00EA0DF6"/>
    <w:rsid w:val="00EA1698"/>
    <w:rsid w:val="00EA4EC7"/>
    <w:rsid w:val="00EA56AE"/>
    <w:rsid w:val="00EA626A"/>
    <w:rsid w:val="00EA7F7C"/>
    <w:rsid w:val="00EB1689"/>
    <w:rsid w:val="00EB409B"/>
    <w:rsid w:val="00EB585D"/>
    <w:rsid w:val="00EB7832"/>
    <w:rsid w:val="00EC1184"/>
    <w:rsid w:val="00EC3394"/>
    <w:rsid w:val="00ED0403"/>
    <w:rsid w:val="00ED1D8D"/>
    <w:rsid w:val="00ED2BAE"/>
    <w:rsid w:val="00ED64BC"/>
    <w:rsid w:val="00ED650C"/>
    <w:rsid w:val="00ED708B"/>
    <w:rsid w:val="00EE006C"/>
    <w:rsid w:val="00EE191D"/>
    <w:rsid w:val="00EE5C19"/>
    <w:rsid w:val="00EE7DD1"/>
    <w:rsid w:val="00EF0AAF"/>
    <w:rsid w:val="00EF20CE"/>
    <w:rsid w:val="00EF62DA"/>
    <w:rsid w:val="00F02935"/>
    <w:rsid w:val="00F02BE6"/>
    <w:rsid w:val="00F03F9A"/>
    <w:rsid w:val="00F05E95"/>
    <w:rsid w:val="00F06445"/>
    <w:rsid w:val="00F067FC"/>
    <w:rsid w:val="00F069EE"/>
    <w:rsid w:val="00F12CAA"/>
    <w:rsid w:val="00F13EFC"/>
    <w:rsid w:val="00F162D5"/>
    <w:rsid w:val="00F1715D"/>
    <w:rsid w:val="00F20BC8"/>
    <w:rsid w:val="00F21596"/>
    <w:rsid w:val="00F22605"/>
    <w:rsid w:val="00F23A2E"/>
    <w:rsid w:val="00F25294"/>
    <w:rsid w:val="00F26B98"/>
    <w:rsid w:val="00F27E02"/>
    <w:rsid w:val="00F308FD"/>
    <w:rsid w:val="00F31071"/>
    <w:rsid w:val="00F33548"/>
    <w:rsid w:val="00F337C2"/>
    <w:rsid w:val="00F3422E"/>
    <w:rsid w:val="00F374F2"/>
    <w:rsid w:val="00F37798"/>
    <w:rsid w:val="00F4173C"/>
    <w:rsid w:val="00F419ED"/>
    <w:rsid w:val="00F41FC0"/>
    <w:rsid w:val="00F42A0E"/>
    <w:rsid w:val="00F43611"/>
    <w:rsid w:val="00F4536B"/>
    <w:rsid w:val="00F4566A"/>
    <w:rsid w:val="00F46AAB"/>
    <w:rsid w:val="00F46F5C"/>
    <w:rsid w:val="00F507EF"/>
    <w:rsid w:val="00F50BC5"/>
    <w:rsid w:val="00F5271D"/>
    <w:rsid w:val="00F52CE2"/>
    <w:rsid w:val="00F53A07"/>
    <w:rsid w:val="00F55610"/>
    <w:rsid w:val="00F60495"/>
    <w:rsid w:val="00F605FA"/>
    <w:rsid w:val="00F6169A"/>
    <w:rsid w:val="00F620AF"/>
    <w:rsid w:val="00F62843"/>
    <w:rsid w:val="00F638DD"/>
    <w:rsid w:val="00F65C10"/>
    <w:rsid w:val="00F65DD8"/>
    <w:rsid w:val="00F66AB8"/>
    <w:rsid w:val="00F670DF"/>
    <w:rsid w:val="00F70918"/>
    <w:rsid w:val="00F715E1"/>
    <w:rsid w:val="00F71E11"/>
    <w:rsid w:val="00F730D2"/>
    <w:rsid w:val="00F75EEB"/>
    <w:rsid w:val="00F77270"/>
    <w:rsid w:val="00F77686"/>
    <w:rsid w:val="00F77BAE"/>
    <w:rsid w:val="00F81F46"/>
    <w:rsid w:val="00F83713"/>
    <w:rsid w:val="00F921D7"/>
    <w:rsid w:val="00F933E5"/>
    <w:rsid w:val="00F959D3"/>
    <w:rsid w:val="00F96D35"/>
    <w:rsid w:val="00FA1558"/>
    <w:rsid w:val="00FA4DEE"/>
    <w:rsid w:val="00FA500F"/>
    <w:rsid w:val="00FA5611"/>
    <w:rsid w:val="00FA61C4"/>
    <w:rsid w:val="00FA698B"/>
    <w:rsid w:val="00FA71F1"/>
    <w:rsid w:val="00FA76A0"/>
    <w:rsid w:val="00FB33C0"/>
    <w:rsid w:val="00FB38FF"/>
    <w:rsid w:val="00FB3CD5"/>
    <w:rsid w:val="00FB46D2"/>
    <w:rsid w:val="00FB52FB"/>
    <w:rsid w:val="00FB62B7"/>
    <w:rsid w:val="00FB7759"/>
    <w:rsid w:val="00FB7ED1"/>
    <w:rsid w:val="00FC12E2"/>
    <w:rsid w:val="00FC15B8"/>
    <w:rsid w:val="00FC2304"/>
    <w:rsid w:val="00FC2792"/>
    <w:rsid w:val="00FC584B"/>
    <w:rsid w:val="00FC73BF"/>
    <w:rsid w:val="00FD0BBA"/>
    <w:rsid w:val="00FD189E"/>
    <w:rsid w:val="00FD2E70"/>
    <w:rsid w:val="00FD4805"/>
    <w:rsid w:val="00FD6D39"/>
    <w:rsid w:val="00FD725D"/>
    <w:rsid w:val="00FD74C0"/>
    <w:rsid w:val="00FE1FDD"/>
    <w:rsid w:val="00FE57B2"/>
    <w:rsid w:val="00FE5DA0"/>
    <w:rsid w:val="00FF0760"/>
    <w:rsid w:val="00FF10DD"/>
    <w:rsid w:val="00FF1B62"/>
    <w:rsid w:val="00FF297B"/>
    <w:rsid w:val="65E0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98B8D8"/>
  <w15:docId w15:val="{7F5C472E-4FDA-C244-970E-03EFEED6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C9"/>
    <w:rPr>
      <w:rFonts w:ascii="Segoe UI" w:hAnsi="Segoe UI" w:cs="Segoe UI"/>
      <w:sz w:val="18"/>
      <w:szCs w:val="18"/>
    </w:rPr>
  </w:style>
  <w:style w:type="paragraph" w:customStyle="1" w:styleId="EndNoteBibliographyTitle">
    <w:name w:val="EndNote Bibliography Title"/>
    <w:basedOn w:val="Normal"/>
    <w:link w:val="EndNoteBibliographyTitleChar"/>
    <w:rsid w:val="001559EB"/>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1559EB"/>
    <w:rPr>
      <w:rFonts w:ascii="Arial" w:hAnsi="Arial" w:cs="Arial"/>
      <w:noProof/>
      <w:sz w:val="20"/>
    </w:rPr>
  </w:style>
  <w:style w:type="paragraph" w:customStyle="1" w:styleId="EndNoteBibliography">
    <w:name w:val="EndNote Bibliography"/>
    <w:basedOn w:val="Normal"/>
    <w:link w:val="EndNoteBibliographyChar"/>
    <w:rsid w:val="001D6355"/>
    <w:rPr>
      <w:rFonts w:ascii="Arial" w:hAnsi="Arial" w:cs="Arial"/>
      <w:noProof/>
      <w:sz w:val="20"/>
    </w:rPr>
  </w:style>
  <w:style w:type="character" w:customStyle="1" w:styleId="EndNoteBibliographyChar">
    <w:name w:val="EndNote Bibliography Char"/>
    <w:basedOn w:val="DefaultParagraphFont"/>
    <w:link w:val="EndNoteBibliography"/>
    <w:rsid w:val="001559EB"/>
    <w:rPr>
      <w:rFonts w:ascii="Arial" w:hAnsi="Arial" w:cs="Arial"/>
      <w:noProof/>
      <w:sz w:val="20"/>
    </w:rPr>
  </w:style>
  <w:style w:type="character" w:styleId="Hyperlink">
    <w:name w:val="Hyperlink"/>
    <w:basedOn w:val="DefaultParagraphFont"/>
    <w:uiPriority w:val="99"/>
    <w:unhideWhenUsed/>
    <w:rsid w:val="001559EB"/>
    <w:rPr>
      <w:color w:val="0000FF" w:themeColor="hyperlink"/>
      <w:u w:val="single"/>
    </w:rPr>
  </w:style>
  <w:style w:type="character" w:customStyle="1" w:styleId="UnresolvedMention">
    <w:name w:val="Unresolved Mention"/>
    <w:basedOn w:val="DefaultParagraphFont"/>
    <w:uiPriority w:val="99"/>
    <w:semiHidden/>
    <w:unhideWhenUsed/>
    <w:rsid w:val="001559EB"/>
    <w:rPr>
      <w:color w:val="605E5C"/>
      <w:shd w:val="clear" w:color="auto" w:fill="E1DFDD"/>
    </w:rPr>
  </w:style>
  <w:style w:type="paragraph" w:styleId="ListParagraph">
    <w:name w:val="List Paragraph"/>
    <w:basedOn w:val="Normal"/>
    <w:uiPriority w:val="34"/>
    <w:qFormat/>
    <w:rsid w:val="00846EDA"/>
    <w:pPr>
      <w:ind w:left="720"/>
      <w:contextualSpacing/>
    </w:pPr>
  </w:style>
  <w:style w:type="paragraph" w:styleId="CommentSubject">
    <w:name w:val="annotation subject"/>
    <w:basedOn w:val="CommentText"/>
    <w:next w:val="CommentText"/>
    <w:link w:val="CommentSubjectChar"/>
    <w:uiPriority w:val="99"/>
    <w:semiHidden/>
    <w:unhideWhenUsed/>
    <w:rsid w:val="00047FA5"/>
    <w:rPr>
      <w:b/>
      <w:bCs/>
    </w:rPr>
  </w:style>
  <w:style w:type="character" w:customStyle="1" w:styleId="CommentSubjectChar">
    <w:name w:val="Comment Subject Char"/>
    <w:basedOn w:val="CommentTextChar"/>
    <w:link w:val="CommentSubject"/>
    <w:uiPriority w:val="99"/>
    <w:semiHidden/>
    <w:rsid w:val="00047FA5"/>
    <w:rPr>
      <w:b/>
      <w:bCs/>
      <w:sz w:val="20"/>
      <w:szCs w:val="20"/>
    </w:rPr>
  </w:style>
  <w:style w:type="character" w:styleId="FollowedHyperlink">
    <w:name w:val="FollowedHyperlink"/>
    <w:basedOn w:val="DefaultParagraphFont"/>
    <w:uiPriority w:val="99"/>
    <w:semiHidden/>
    <w:unhideWhenUsed/>
    <w:rsid w:val="00AF3763"/>
    <w:rPr>
      <w:color w:val="800080" w:themeColor="followedHyperlink"/>
      <w:u w:val="single"/>
    </w:rPr>
  </w:style>
  <w:style w:type="character" w:customStyle="1" w:styleId="ref-journal">
    <w:name w:val="ref-journal"/>
    <w:basedOn w:val="DefaultParagraphFont"/>
    <w:rsid w:val="00902767"/>
  </w:style>
  <w:style w:type="character" w:customStyle="1" w:styleId="nowrap">
    <w:name w:val="nowrap"/>
    <w:basedOn w:val="DefaultParagraphFont"/>
    <w:rsid w:val="00902767"/>
  </w:style>
  <w:style w:type="table" w:styleId="PlainTable2">
    <w:name w:val="Plain Table 2"/>
    <w:basedOn w:val="TableNormal"/>
    <w:uiPriority w:val="42"/>
    <w:rsid w:val="007111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D52317"/>
    <w:rPr>
      <w:sz w:val="20"/>
      <w:szCs w:val="20"/>
    </w:rPr>
  </w:style>
  <w:style w:type="character" w:customStyle="1" w:styleId="EndnoteTextChar">
    <w:name w:val="Endnote Text Char"/>
    <w:basedOn w:val="DefaultParagraphFont"/>
    <w:link w:val="EndnoteText"/>
    <w:uiPriority w:val="99"/>
    <w:semiHidden/>
    <w:rsid w:val="00D52317"/>
    <w:rPr>
      <w:sz w:val="20"/>
      <w:szCs w:val="20"/>
    </w:rPr>
  </w:style>
  <w:style w:type="character" w:styleId="EndnoteReference">
    <w:name w:val="endnote reference"/>
    <w:basedOn w:val="DefaultParagraphFont"/>
    <w:uiPriority w:val="99"/>
    <w:semiHidden/>
    <w:unhideWhenUsed/>
    <w:rsid w:val="00D52317"/>
    <w:rPr>
      <w:vertAlign w:val="superscript"/>
    </w:rPr>
  </w:style>
  <w:style w:type="paragraph" w:styleId="Footer">
    <w:name w:val="footer"/>
    <w:basedOn w:val="Normal"/>
    <w:link w:val="FooterChar"/>
    <w:uiPriority w:val="99"/>
    <w:unhideWhenUsed/>
    <w:rsid w:val="00B535AB"/>
    <w:pPr>
      <w:tabs>
        <w:tab w:val="center" w:pos="4680"/>
        <w:tab w:val="right" w:pos="9360"/>
      </w:tabs>
    </w:pPr>
  </w:style>
  <w:style w:type="character" w:customStyle="1" w:styleId="FooterChar">
    <w:name w:val="Footer Char"/>
    <w:basedOn w:val="DefaultParagraphFont"/>
    <w:link w:val="Footer"/>
    <w:uiPriority w:val="99"/>
    <w:rsid w:val="00B535AB"/>
  </w:style>
  <w:style w:type="paragraph" w:styleId="Header">
    <w:name w:val="header"/>
    <w:basedOn w:val="Normal"/>
    <w:link w:val="HeaderChar"/>
    <w:uiPriority w:val="99"/>
    <w:unhideWhenUsed/>
    <w:rsid w:val="00F670DF"/>
    <w:pPr>
      <w:tabs>
        <w:tab w:val="center" w:pos="4680"/>
        <w:tab w:val="right" w:pos="9360"/>
      </w:tabs>
    </w:pPr>
  </w:style>
  <w:style w:type="character" w:customStyle="1" w:styleId="HeaderChar">
    <w:name w:val="Header Char"/>
    <w:basedOn w:val="DefaultParagraphFont"/>
    <w:link w:val="Header"/>
    <w:uiPriority w:val="99"/>
    <w:rsid w:val="00F670DF"/>
  </w:style>
  <w:style w:type="character" w:styleId="Emphasis">
    <w:name w:val="Emphasis"/>
    <w:basedOn w:val="DefaultParagraphFont"/>
    <w:uiPriority w:val="20"/>
    <w:qFormat/>
    <w:rsid w:val="00614C49"/>
    <w:rPr>
      <w:i/>
      <w:iCs/>
    </w:rPr>
  </w:style>
  <w:style w:type="paragraph" w:styleId="Revision">
    <w:name w:val="Revision"/>
    <w:hidden/>
    <w:uiPriority w:val="99"/>
    <w:semiHidden/>
    <w:rsid w:val="006D2FF2"/>
  </w:style>
  <w:style w:type="character" w:customStyle="1" w:styleId="UnresolvedMention1">
    <w:name w:val="Unresolved Mention1"/>
    <w:basedOn w:val="DefaultParagraphFont"/>
    <w:uiPriority w:val="99"/>
    <w:semiHidden/>
    <w:unhideWhenUsed/>
    <w:rsid w:val="001D22B8"/>
    <w:rPr>
      <w:color w:val="605E5C"/>
      <w:shd w:val="clear" w:color="auto" w:fill="E1DFDD"/>
    </w:rPr>
  </w:style>
  <w:style w:type="table" w:customStyle="1" w:styleId="PlainTable21">
    <w:name w:val="Plain Table 21"/>
    <w:basedOn w:val="TableNormal"/>
    <w:uiPriority w:val="42"/>
    <w:rsid w:val="001D22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copy">
    <w:name w:val="Body copy"/>
    <w:basedOn w:val="Normal"/>
    <w:link w:val="BodycopyChar"/>
    <w:qFormat/>
    <w:rsid w:val="00E24BC4"/>
    <w:pPr>
      <w:spacing w:line="270" w:lineRule="exact"/>
    </w:pPr>
    <w:rPr>
      <w:rFonts w:ascii="Arial" w:eastAsiaTheme="minorHAnsi" w:hAnsi="Arial" w:cs="Arial"/>
      <w:sz w:val="20"/>
      <w:szCs w:val="20"/>
    </w:rPr>
  </w:style>
  <w:style w:type="character" w:customStyle="1" w:styleId="BodycopyChar">
    <w:name w:val="Body copy Char"/>
    <w:link w:val="Bodycopy"/>
    <w:rsid w:val="00E24BC4"/>
    <w:rPr>
      <w:rFonts w:ascii="Arial" w:eastAsiaTheme="minorHAnsi" w:hAnsi="Arial" w:cs="Arial"/>
      <w:sz w:val="20"/>
      <w:szCs w:val="20"/>
    </w:rPr>
  </w:style>
  <w:style w:type="paragraph" w:customStyle="1" w:styleId="p1">
    <w:name w:val="p1"/>
    <w:basedOn w:val="Normal"/>
    <w:rsid w:val="00FC12E2"/>
    <w:rPr>
      <w:rFonts w:ascii="Times" w:hAnsi="Times"/>
      <w:sz w:val="12"/>
      <w:szCs w:val="12"/>
    </w:rPr>
  </w:style>
  <w:style w:type="paragraph" w:customStyle="1" w:styleId="Default">
    <w:name w:val="Default"/>
    <w:rsid w:val="008A5B22"/>
    <w:pPr>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5F3CA3"/>
  </w:style>
  <w:style w:type="paragraph" w:styleId="NormalWeb">
    <w:name w:val="Normal (Web)"/>
    <w:basedOn w:val="Normal"/>
    <w:uiPriority w:val="99"/>
    <w:semiHidden/>
    <w:unhideWhenUsed/>
    <w:rsid w:val="00224714"/>
    <w:pPr>
      <w:spacing w:before="100" w:beforeAutospacing="1" w:after="100" w:afterAutospacing="1"/>
    </w:pPr>
  </w:style>
  <w:style w:type="paragraph" w:customStyle="1" w:styleId="m-6251070781363155076msolistparagraph">
    <w:name w:val="m_-6251070781363155076msolistparagraph"/>
    <w:basedOn w:val="Normal"/>
    <w:rsid w:val="00543C54"/>
    <w:pPr>
      <w:spacing w:before="100" w:beforeAutospacing="1" w:after="100" w:afterAutospacing="1"/>
    </w:pPr>
  </w:style>
  <w:style w:type="character" w:customStyle="1" w:styleId="apple-converted-space">
    <w:name w:val="apple-converted-space"/>
    <w:basedOn w:val="DefaultParagraphFont"/>
    <w:rsid w:val="00543C54"/>
  </w:style>
  <w:style w:type="character" w:styleId="LineNumber">
    <w:name w:val="line number"/>
    <w:basedOn w:val="DefaultParagraphFont"/>
    <w:uiPriority w:val="99"/>
    <w:semiHidden/>
    <w:unhideWhenUsed/>
    <w:rsid w:val="006E2A1D"/>
  </w:style>
  <w:style w:type="table" w:styleId="TableGrid">
    <w:name w:val="Table Grid"/>
    <w:basedOn w:val="TableNormal"/>
    <w:uiPriority w:val="39"/>
    <w:rsid w:val="00AA7A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A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56">
      <w:bodyDiv w:val="1"/>
      <w:marLeft w:val="0"/>
      <w:marRight w:val="0"/>
      <w:marTop w:val="0"/>
      <w:marBottom w:val="0"/>
      <w:divBdr>
        <w:top w:val="none" w:sz="0" w:space="0" w:color="auto"/>
        <w:left w:val="none" w:sz="0" w:space="0" w:color="auto"/>
        <w:bottom w:val="none" w:sz="0" w:space="0" w:color="auto"/>
        <w:right w:val="none" w:sz="0" w:space="0" w:color="auto"/>
      </w:divBdr>
    </w:div>
    <w:div w:id="3478666">
      <w:bodyDiv w:val="1"/>
      <w:marLeft w:val="0"/>
      <w:marRight w:val="0"/>
      <w:marTop w:val="0"/>
      <w:marBottom w:val="0"/>
      <w:divBdr>
        <w:top w:val="none" w:sz="0" w:space="0" w:color="auto"/>
        <w:left w:val="none" w:sz="0" w:space="0" w:color="auto"/>
        <w:bottom w:val="none" w:sz="0" w:space="0" w:color="auto"/>
        <w:right w:val="none" w:sz="0" w:space="0" w:color="auto"/>
      </w:divBdr>
    </w:div>
    <w:div w:id="14577531">
      <w:bodyDiv w:val="1"/>
      <w:marLeft w:val="0"/>
      <w:marRight w:val="0"/>
      <w:marTop w:val="0"/>
      <w:marBottom w:val="0"/>
      <w:divBdr>
        <w:top w:val="none" w:sz="0" w:space="0" w:color="auto"/>
        <w:left w:val="none" w:sz="0" w:space="0" w:color="auto"/>
        <w:bottom w:val="none" w:sz="0" w:space="0" w:color="auto"/>
        <w:right w:val="none" w:sz="0" w:space="0" w:color="auto"/>
      </w:divBdr>
    </w:div>
    <w:div w:id="21368639">
      <w:bodyDiv w:val="1"/>
      <w:marLeft w:val="0"/>
      <w:marRight w:val="0"/>
      <w:marTop w:val="0"/>
      <w:marBottom w:val="0"/>
      <w:divBdr>
        <w:top w:val="none" w:sz="0" w:space="0" w:color="auto"/>
        <w:left w:val="none" w:sz="0" w:space="0" w:color="auto"/>
        <w:bottom w:val="none" w:sz="0" w:space="0" w:color="auto"/>
        <w:right w:val="none" w:sz="0" w:space="0" w:color="auto"/>
      </w:divBdr>
    </w:div>
    <w:div w:id="212622354">
      <w:bodyDiv w:val="1"/>
      <w:marLeft w:val="0"/>
      <w:marRight w:val="0"/>
      <w:marTop w:val="0"/>
      <w:marBottom w:val="0"/>
      <w:divBdr>
        <w:top w:val="none" w:sz="0" w:space="0" w:color="auto"/>
        <w:left w:val="none" w:sz="0" w:space="0" w:color="auto"/>
        <w:bottom w:val="none" w:sz="0" w:space="0" w:color="auto"/>
        <w:right w:val="none" w:sz="0" w:space="0" w:color="auto"/>
      </w:divBdr>
    </w:div>
    <w:div w:id="224875865">
      <w:bodyDiv w:val="1"/>
      <w:marLeft w:val="0"/>
      <w:marRight w:val="0"/>
      <w:marTop w:val="0"/>
      <w:marBottom w:val="0"/>
      <w:divBdr>
        <w:top w:val="none" w:sz="0" w:space="0" w:color="auto"/>
        <w:left w:val="none" w:sz="0" w:space="0" w:color="auto"/>
        <w:bottom w:val="none" w:sz="0" w:space="0" w:color="auto"/>
        <w:right w:val="none" w:sz="0" w:space="0" w:color="auto"/>
      </w:divBdr>
    </w:div>
    <w:div w:id="228002579">
      <w:bodyDiv w:val="1"/>
      <w:marLeft w:val="0"/>
      <w:marRight w:val="0"/>
      <w:marTop w:val="0"/>
      <w:marBottom w:val="0"/>
      <w:divBdr>
        <w:top w:val="none" w:sz="0" w:space="0" w:color="auto"/>
        <w:left w:val="none" w:sz="0" w:space="0" w:color="auto"/>
        <w:bottom w:val="none" w:sz="0" w:space="0" w:color="auto"/>
        <w:right w:val="none" w:sz="0" w:space="0" w:color="auto"/>
      </w:divBdr>
    </w:div>
    <w:div w:id="233929386">
      <w:bodyDiv w:val="1"/>
      <w:marLeft w:val="0"/>
      <w:marRight w:val="0"/>
      <w:marTop w:val="0"/>
      <w:marBottom w:val="0"/>
      <w:divBdr>
        <w:top w:val="none" w:sz="0" w:space="0" w:color="auto"/>
        <w:left w:val="none" w:sz="0" w:space="0" w:color="auto"/>
        <w:bottom w:val="none" w:sz="0" w:space="0" w:color="auto"/>
        <w:right w:val="none" w:sz="0" w:space="0" w:color="auto"/>
      </w:divBdr>
    </w:div>
    <w:div w:id="278682055">
      <w:bodyDiv w:val="1"/>
      <w:marLeft w:val="0"/>
      <w:marRight w:val="0"/>
      <w:marTop w:val="0"/>
      <w:marBottom w:val="0"/>
      <w:divBdr>
        <w:top w:val="none" w:sz="0" w:space="0" w:color="auto"/>
        <w:left w:val="none" w:sz="0" w:space="0" w:color="auto"/>
        <w:bottom w:val="none" w:sz="0" w:space="0" w:color="auto"/>
        <w:right w:val="none" w:sz="0" w:space="0" w:color="auto"/>
      </w:divBdr>
    </w:div>
    <w:div w:id="301421354">
      <w:bodyDiv w:val="1"/>
      <w:marLeft w:val="0"/>
      <w:marRight w:val="0"/>
      <w:marTop w:val="0"/>
      <w:marBottom w:val="0"/>
      <w:divBdr>
        <w:top w:val="none" w:sz="0" w:space="0" w:color="auto"/>
        <w:left w:val="none" w:sz="0" w:space="0" w:color="auto"/>
        <w:bottom w:val="none" w:sz="0" w:space="0" w:color="auto"/>
        <w:right w:val="none" w:sz="0" w:space="0" w:color="auto"/>
      </w:divBdr>
      <w:divsChild>
        <w:div w:id="942960425">
          <w:marLeft w:val="0"/>
          <w:marRight w:val="0"/>
          <w:marTop w:val="0"/>
          <w:marBottom w:val="0"/>
          <w:divBdr>
            <w:top w:val="none" w:sz="0" w:space="0" w:color="auto"/>
            <w:left w:val="none" w:sz="0" w:space="0" w:color="auto"/>
            <w:bottom w:val="none" w:sz="0" w:space="0" w:color="auto"/>
            <w:right w:val="none" w:sz="0" w:space="0" w:color="auto"/>
          </w:divBdr>
        </w:div>
        <w:div w:id="546793646">
          <w:marLeft w:val="0"/>
          <w:marRight w:val="0"/>
          <w:marTop w:val="0"/>
          <w:marBottom w:val="0"/>
          <w:divBdr>
            <w:top w:val="none" w:sz="0" w:space="0" w:color="auto"/>
            <w:left w:val="none" w:sz="0" w:space="0" w:color="auto"/>
            <w:bottom w:val="none" w:sz="0" w:space="0" w:color="auto"/>
            <w:right w:val="none" w:sz="0" w:space="0" w:color="auto"/>
          </w:divBdr>
        </w:div>
        <w:div w:id="2072078011">
          <w:marLeft w:val="0"/>
          <w:marRight w:val="0"/>
          <w:marTop w:val="0"/>
          <w:marBottom w:val="0"/>
          <w:divBdr>
            <w:top w:val="none" w:sz="0" w:space="0" w:color="auto"/>
            <w:left w:val="none" w:sz="0" w:space="0" w:color="auto"/>
            <w:bottom w:val="none" w:sz="0" w:space="0" w:color="auto"/>
            <w:right w:val="none" w:sz="0" w:space="0" w:color="auto"/>
          </w:divBdr>
        </w:div>
        <w:div w:id="930508159">
          <w:marLeft w:val="0"/>
          <w:marRight w:val="0"/>
          <w:marTop w:val="0"/>
          <w:marBottom w:val="0"/>
          <w:divBdr>
            <w:top w:val="none" w:sz="0" w:space="0" w:color="auto"/>
            <w:left w:val="none" w:sz="0" w:space="0" w:color="auto"/>
            <w:bottom w:val="none" w:sz="0" w:space="0" w:color="auto"/>
            <w:right w:val="none" w:sz="0" w:space="0" w:color="auto"/>
          </w:divBdr>
        </w:div>
        <w:div w:id="1091704292">
          <w:marLeft w:val="0"/>
          <w:marRight w:val="0"/>
          <w:marTop w:val="0"/>
          <w:marBottom w:val="0"/>
          <w:divBdr>
            <w:top w:val="none" w:sz="0" w:space="0" w:color="auto"/>
            <w:left w:val="none" w:sz="0" w:space="0" w:color="auto"/>
            <w:bottom w:val="none" w:sz="0" w:space="0" w:color="auto"/>
            <w:right w:val="none" w:sz="0" w:space="0" w:color="auto"/>
          </w:divBdr>
        </w:div>
        <w:div w:id="1514151608">
          <w:marLeft w:val="0"/>
          <w:marRight w:val="0"/>
          <w:marTop w:val="0"/>
          <w:marBottom w:val="0"/>
          <w:divBdr>
            <w:top w:val="none" w:sz="0" w:space="0" w:color="auto"/>
            <w:left w:val="none" w:sz="0" w:space="0" w:color="auto"/>
            <w:bottom w:val="none" w:sz="0" w:space="0" w:color="auto"/>
            <w:right w:val="none" w:sz="0" w:space="0" w:color="auto"/>
          </w:divBdr>
        </w:div>
        <w:div w:id="174463601">
          <w:marLeft w:val="0"/>
          <w:marRight w:val="0"/>
          <w:marTop w:val="0"/>
          <w:marBottom w:val="0"/>
          <w:divBdr>
            <w:top w:val="none" w:sz="0" w:space="0" w:color="auto"/>
            <w:left w:val="none" w:sz="0" w:space="0" w:color="auto"/>
            <w:bottom w:val="none" w:sz="0" w:space="0" w:color="auto"/>
            <w:right w:val="none" w:sz="0" w:space="0" w:color="auto"/>
          </w:divBdr>
        </w:div>
        <w:div w:id="2061129486">
          <w:marLeft w:val="0"/>
          <w:marRight w:val="0"/>
          <w:marTop w:val="0"/>
          <w:marBottom w:val="0"/>
          <w:divBdr>
            <w:top w:val="none" w:sz="0" w:space="0" w:color="auto"/>
            <w:left w:val="none" w:sz="0" w:space="0" w:color="auto"/>
            <w:bottom w:val="none" w:sz="0" w:space="0" w:color="auto"/>
            <w:right w:val="none" w:sz="0" w:space="0" w:color="auto"/>
          </w:divBdr>
        </w:div>
        <w:div w:id="1476024932">
          <w:marLeft w:val="0"/>
          <w:marRight w:val="0"/>
          <w:marTop w:val="0"/>
          <w:marBottom w:val="0"/>
          <w:divBdr>
            <w:top w:val="none" w:sz="0" w:space="0" w:color="auto"/>
            <w:left w:val="none" w:sz="0" w:space="0" w:color="auto"/>
            <w:bottom w:val="none" w:sz="0" w:space="0" w:color="auto"/>
            <w:right w:val="none" w:sz="0" w:space="0" w:color="auto"/>
          </w:divBdr>
        </w:div>
        <w:div w:id="1480419563">
          <w:marLeft w:val="0"/>
          <w:marRight w:val="0"/>
          <w:marTop w:val="0"/>
          <w:marBottom w:val="0"/>
          <w:divBdr>
            <w:top w:val="none" w:sz="0" w:space="0" w:color="auto"/>
            <w:left w:val="none" w:sz="0" w:space="0" w:color="auto"/>
            <w:bottom w:val="none" w:sz="0" w:space="0" w:color="auto"/>
            <w:right w:val="none" w:sz="0" w:space="0" w:color="auto"/>
          </w:divBdr>
        </w:div>
        <w:div w:id="565728723">
          <w:marLeft w:val="0"/>
          <w:marRight w:val="0"/>
          <w:marTop w:val="0"/>
          <w:marBottom w:val="0"/>
          <w:divBdr>
            <w:top w:val="none" w:sz="0" w:space="0" w:color="auto"/>
            <w:left w:val="none" w:sz="0" w:space="0" w:color="auto"/>
            <w:bottom w:val="none" w:sz="0" w:space="0" w:color="auto"/>
            <w:right w:val="none" w:sz="0" w:space="0" w:color="auto"/>
          </w:divBdr>
        </w:div>
      </w:divsChild>
    </w:div>
    <w:div w:id="320621795">
      <w:bodyDiv w:val="1"/>
      <w:marLeft w:val="0"/>
      <w:marRight w:val="0"/>
      <w:marTop w:val="0"/>
      <w:marBottom w:val="0"/>
      <w:divBdr>
        <w:top w:val="none" w:sz="0" w:space="0" w:color="auto"/>
        <w:left w:val="none" w:sz="0" w:space="0" w:color="auto"/>
        <w:bottom w:val="none" w:sz="0" w:space="0" w:color="auto"/>
        <w:right w:val="none" w:sz="0" w:space="0" w:color="auto"/>
      </w:divBdr>
    </w:div>
    <w:div w:id="346370173">
      <w:bodyDiv w:val="1"/>
      <w:marLeft w:val="0"/>
      <w:marRight w:val="0"/>
      <w:marTop w:val="0"/>
      <w:marBottom w:val="0"/>
      <w:divBdr>
        <w:top w:val="none" w:sz="0" w:space="0" w:color="auto"/>
        <w:left w:val="none" w:sz="0" w:space="0" w:color="auto"/>
        <w:bottom w:val="none" w:sz="0" w:space="0" w:color="auto"/>
        <w:right w:val="none" w:sz="0" w:space="0" w:color="auto"/>
      </w:divBdr>
    </w:div>
    <w:div w:id="361516376">
      <w:bodyDiv w:val="1"/>
      <w:marLeft w:val="0"/>
      <w:marRight w:val="0"/>
      <w:marTop w:val="0"/>
      <w:marBottom w:val="0"/>
      <w:divBdr>
        <w:top w:val="none" w:sz="0" w:space="0" w:color="auto"/>
        <w:left w:val="none" w:sz="0" w:space="0" w:color="auto"/>
        <w:bottom w:val="none" w:sz="0" w:space="0" w:color="auto"/>
        <w:right w:val="none" w:sz="0" w:space="0" w:color="auto"/>
      </w:divBdr>
    </w:div>
    <w:div w:id="372853122">
      <w:bodyDiv w:val="1"/>
      <w:marLeft w:val="0"/>
      <w:marRight w:val="0"/>
      <w:marTop w:val="0"/>
      <w:marBottom w:val="0"/>
      <w:divBdr>
        <w:top w:val="none" w:sz="0" w:space="0" w:color="auto"/>
        <w:left w:val="none" w:sz="0" w:space="0" w:color="auto"/>
        <w:bottom w:val="none" w:sz="0" w:space="0" w:color="auto"/>
        <w:right w:val="none" w:sz="0" w:space="0" w:color="auto"/>
      </w:divBdr>
    </w:div>
    <w:div w:id="389038516">
      <w:bodyDiv w:val="1"/>
      <w:marLeft w:val="0"/>
      <w:marRight w:val="0"/>
      <w:marTop w:val="0"/>
      <w:marBottom w:val="0"/>
      <w:divBdr>
        <w:top w:val="none" w:sz="0" w:space="0" w:color="auto"/>
        <w:left w:val="none" w:sz="0" w:space="0" w:color="auto"/>
        <w:bottom w:val="none" w:sz="0" w:space="0" w:color="auto"/>
        <w:right w:val="none" w:sz="0" w:space="0" w:color="auto"/>
      </w:divBdr>
    </w:div>
    <w:div w:id="406269779">
      <w:bodyDiv w:val="1"/>
      <w:marLeft w:val="0"/>
      <w:marRight w:val="0"/>
      <w:marTop w:val="0"/>
      <w:marBottom w:val="0"/>
      <w:divBdr>
        <w:top w:val="none" w:sz="0" w:space="0" w:color="auto"/>
        <w:left w:val="none" w:sz="0" w:space="0" w:color="auto"/>
        <w:bottom w:val="none" w:sz="0" w:space="0" w:color="auto"/>
        <w:right w:val="none" w:sz="0" w:space="0" w:color="auto"/>
      </w:divBdr>
    </w:div>
    <w:div w:id="434978549">
      <w:bodyDiv w:val="1"/>
      <w:marLeft w:val="0"/>
      <w:marRight w:val="0"/>
      <w:marTop w:val="0"/>
      <w:marBottom w:val="0"/>
      <w:divBdr>
        <w:top w:val="none" w:sz="0" w:space="0" w:color="auto"/>
        <w:left w:val="none" w:sz="0" w:space="0" w:color="auto"/>
        <w:bottom w:val="none" w:sz="0" w:space="0" w:color="auto"/>
        <w:right w:val="none" w:sz="0" w:space="0" w:color="auto"/>
      </w:divBdr>
    </w:div>
    <w:div w:id="446390105">
      <w:bodyDiv w:val="1"/>
      <w:marLeft w:val="0"/>
      <w:marRight w:val="0"/>
      <w:marTop w:val="0"/>
      <w:marBottom w:val="0"/>
      <w:divBdr>
        <w:top w:val="none" w:sz="0" w:space="0" w:color="auto"/>
        <w:left w:val="none" w:sz="0" w:space="0" w:color="auto"/>
        <w:bottom w:val="none" w:sz="0" w:space="0" w:color="auto"/>
        <w:right w:val="none" w:sz="0" w:space="0" w:color="auto"/>
      </w:divBdr>
    </w:div>
    <w:div w:id="476840825">
      <w:bodyDiv w:val="1"/>
      <w:marLeft w:val="0"/>
      <w:marRight w:val="0"/>
      <w:marTop w:val="0"/>
      <w:marBottom w:val="0"/>
      <w:divBdr>
        <w:top w:val="none" w:sz="0" w:space="0" w:color="auto"/>
        <w:left w:val="none" w:sz="0" w:space="0" w:color="auto"/>
        <w:bottom w:val="none" w:sz="0" w:space="0" w:color="auto"/>
        <w:right w:val="none" w:sz="0" w:space="0" w:color="auto"/>
      </w:divBdr>
    </w:div>
    <w:div w:id="484204098">
      <w:bodyDiv w:val="1"/>
      <w:marLeft w:val="0"/>
      <w:marRight w:val="0"/>
      <w:marTop w:val="0"/>
      <w:marBottom w:val="0"/>
      <w:divBdr>
        <w:top w:val="none" w:sz="0" w:space="0" w:color="auto"/>
        <w:left w:val="none" w:sz="0" w:space="0" w:color="auto"/>
        <w:bottom w:val="none" w:sz="0" w:space="0" w:color="auto"/>
        <w:right w:val="none" w:sz="0" w:space="0" w:color="auto"/>
      </w:divBdr>
    </w:div>
    <w:div w:id="536940560">
      <w:bodyDiv w:val="1"/>
      <w:marLeft w:val="0"/>
      <w:marRight w:val="0"/>
      <w:marTop w:val="0"/>
      <w:marBottom w:val="0"/>
      <w:divBdr>
        <w:top w:val="none" w:sz="0" w:space="0" w:color="auto"/>
        <w:left w:val="none" w:sz="0" w:space="0" w:color="auto"/>
        <w:bottom w:val="none" w:sz="0" w:space="0" w:color="auto"/>
        <w:right w:val="none" w:sz="0" w:space="0" w:color="auto"/>
      </w:divBdr>
    </w:div>
    <w:div w:id="583488865">
      <w:bodyDiv w:val="1"/>
      <w:marLeft w:val="0"/>
      <w:marRight w:val="0"/>
      <w:marTop w:val="0"/>
      <w:marBottom w:val="0"/>
      <w:divBdr>
        <w:top w:val="none" w:sz="0" w:space="0" w:color="auto"/>
        <w:left w:val="none" w:sz="0" w:space="0" w:color="auto"/>
        <w:bottom w:val="none" w:sz="0" w:space="0" w:color="auto"/>
        <w:right w:val="none" w:sz="0" w:space="0" w:color="auto"/>
      </w:divBdr>
    </w:div>
    <w:div w:id="678194651">
      <w:bodyDiv w:val="1"/>
      <w:marLeft w:val="0"/>
      <w:marRight w:val="0"/>
      <w:marTop w:val="0"/>
      <w:marBottom w:val="0"/>
      <w:divBdr>
        <w:top w:val="none" w:sz="0" w:space="0" w:color="auto"/>
        <w:left w:val="none" w:sz="0" w:space="0" w:color="auto"/>
        <w:bottom w:val="none" w:sz="0" w:space="0" w:color="auto"/>
        <w:right w:val="none" w:sz="0" w:space="0" w:color="auto"/>
      </w:divBdr>
    </w:div>
    <w:div w:id="733086013">
      <w:bodyDiv w:val="1"/>
      <w:marLeft w:val="0"/>
      <w:marRight w:val="0"/>
      <w:marTop w:val="0"/>
      <w:marBottom w:val="0"/>
      <w:divBdr>
        <w:top w:val="none" w:sz="0" w:space="0" w:color="auto"/>
        <w:left w:val="none" w:sz="0" w:space="0" w:color="auto"/>
        <w:bottom w:val="none" w:sz="0" w:space="0" w:color="auto"/>
        <w:right w:val="none" w:sz="0" w:space="0" w:color="auto"/>
      </w:divBdr>
    </w:div>
    <w:div w:id="760837271">
      <w:bodyDiv w:val="1"/>
      <w:marLeft w:val="0"/>
      <w:marRight w:val="0"/>
      <w:marTop w:val="0"/>
      <w:marBottom w:val="0"/>
      <w:divBdr>
        <w:top w:val="none" w:sz="0" w:space="0" w:color="auto"/>
        <w:left w:val="none" w:sz="0" w:space="0" w:color="auto"/>
        <w:bottom w:val="none" w:sz="0" w:space="0" w:color="auto"/>
        <w:right w:val="none" w:sz="0" w:space="0" w:color="auto"/>
      </w:divBdr>
    </w:div>
    <w:div w:id="842159531">
      <w:bodyDiv w:val="1"/>
      <w:marLeft w:val="0"/>
      <w:marRight w:val="0"/>
      <w:marTop w:val="0"/>
      <w:marBottom w:val="0"/>
      <w:divBdr>
        <w:top w:val="none" w:sz="0" w:space="0" w:color="auto"/>
        <w:left w:val="none" w:sz="0" w:space="0" w:color="auto"/>
        <w:bottom w:val="none" w:sz="0" w:space="0" w:color="auto"/>
        <w:right w:val="none" w:sz="0" w:space="0" w:color="auto"/>
      </w:divBdr>
    </w:div>
    <w:div w:id="862286686">
      <w:bodyDiv w:val="1"/>
      <w:marLeft w:val="0"/>
      <w:marRight w:val="0"/>
      <w:marTop w:val="0"/>
      <w:marBottom w:val="0"/>
      <w:divBdr>
        <w:top w:val="none" w:sz="0" w:space="0" w:color="auto"/>
        <w:left w:val="none" w:sz="0" w:space="0" w:color="auto"/>
        <w:bottom w:val="none" w:sz="0" w:space="0" w:color="auto"/>
        <w:right w:val="none" w:sz="0" w:space="0" w:color="auto"/>
      </w:divBdr>
    </w:div>
    <w:div w:id="906649636">
      <w:bodyDiv w:val="1"/>
      <w:marLeft w:val="0"/>
      <w:marRight w:val="0"/>
      <w:marTop w:val="0"/>
      <w:marBottom w:val="0"/>
      <w:divBdr>
        <w:top w:val="none" w:sz="0" w:space="0" w:color="auto"/>
        <w:left w:val="none" w:sz="0" w:space="0" w:color="auto"/>
        <w:bottom w:val="none" w:sz="0" w:space="0" w:color="auto"/>
        <w:right w:val="none" w:sz="0" w:space="0" w:color="auto"/>
      </w:divBdr>
    </w:div>
    <w:div w:id="1068574522">
      <w:bodyDiv w:val="1"/>
      <w:marLeft w:val="0"/>
      <w:marRight w:val="0"/>
      <w:marTop w:val="0"/>
      <w:marBottom w:val="0"/>
      <w:divBdr>
        <w:top w:val="none" w:sz="0" w:space="0" w:color="auto"/>
        <w:left w:val="none" w:sz="0" w:space="0" w:color="auto"/>
        <w:bottom w:val="none" w:sz="0" w:space="0" w:color="auto"/>
        <w:right w:val="none" w:sz="0" w:space="0" w:color="auto"/>
      </w:divBdr>
    </w:div>
    <w:div w:id="1128354050">
      <w:bodyDiv w:val="1"/>
      <w:marLeft w:val="0"/>
      <w:marRight w:val="0"/>
      <w:marTop w:val="0"/>
      <w:marBottom w:val="0"/>
      <w:divBdr>
        <w:top w:val="none" w:sz="0" w:space="0" w:color="auto"/>
        <w:left w:val="none" w:sz="0" w:space="0" w:color="auto"/>
        <w:bottom w:val="none" w:sz="0" w:space="0" w:color="auto"/>
        <w:right w:val="none" w:sz="0" w:space="0" w:color="auto"/>
      </w:divBdr>
    </w:div>
    <w:div w:id="1204370652">
      <w:bodyDiv w:val="1"/>
      <w:marLeft w:val="0"/>
      <w:marRight w:val="0"/>
      <w:marTop w:val="0"/>
      <w:marBottom w:val="0"/>
      <w:divBdr>
        <w:top w:val="none" w:sz="0" w:space="0" w:color="auto"/>
        <w:left w:val="none" w:sz="0" w:space="0" w:color="auto"/>
        <w:bottom w:val="none" w:sz="0" w:space="0" w:color="auto"/>
        <w:right w:val="none" w:sz="0" w:space="0" w:color="auto"/>
      </w:divBdr>
      <w:divsChild>
        <w:div w:id="425929036">
          <w:marLeft w:val="0"/>
          <w:marRight w:val="0"/>
          <w:marTop w:val="0"/>
          <w:marBottom w:val="0"/>
          <w:divBdr>
            <w:top w:val="none" w:sz="0" w:space="0" w:color="auto"/>
            <w:left w:val="none" w:sz="0" w:space="0" w:color="auto"/>
            <w:bottom w:val="none" w:sz="0" w:space="0" w:color="auto"/>
            <w:right w:val="none" w:sz="0" w:space="0" w:color="auto"/>
          </w:divBdr>
          <w:divsChild>
            <w:div w:id="556549517">
              <w:marLeft w:val="0"/>
              <w:marRight w:val="0"/>
              <w:marTop w:val="0"/>
              <w:marBottom w:val="0"/>
              <w:divBdr>
                <w:top w:val="none" w:sz="0" w:space="0" w:color="auto"/>
                <w:left w:val="none" w:sz="0" w:space="0" w:color="auto"/>
                <w:bottom w:val="none" w:sz="0" w:space="0" w:color="auto"/>
                <w:right w:val="none" w:sz="0" w:space="0" w:color="auto"/>
              </w:divBdr>
            </w:div>
            <w:div w:id="1045256208">
              <w:marLeft w:val="0"/>
              <w:marRight w:val="0"/>
              <w:marTop w:val="0"/>
              <w:marBottom w:val="0"/>
              <w:divBdr>
                <w:top w:val="none" w:sz="0" w:space="0" w:color="auto"/>
                <w:left w:val="none" w:sz="0" w:space="0" w:color="auto"/>
                <w:bottom w:val="none" w:sz="0" w:space="0" w:color="auto"/>
                <w:right w:val="none" w:sz="0" w:space="0" w:color="auto"/>
              </w:divBdr>
            </w:div>
            <w:div w:id="130749762">
              <w:marLeft w:val="0"/>
              <w:marRight w:val="0"/>
              <w:marTop w:val="0"/>
              <w:marBottom w:val="0"/>
              <w:divBdr>
                <w:top w:val="none" w:sz="0" w:space="0" w:color="auto"/>
                <w:left w:val="none" w:sz="0" w:space="0" w:color="auto"/>
                <w:bottom w:val="none" w:sz="0" w:space="0" w:color="auto"/>
                <w:right w:val="none" w:sz="0" w:space="0" w:color="auto"/>
              </w:divBdr>
            </w:div>
            <w:div w:id="346251303">
              <w:marLeft w:val="0"/>
              <w:marRight w:val="0"/>
              <w:marTop w:val="0"/>
              <w:marBottom w:val="0"/>
              <w:divBdr>
                <w:top w:val="none" w:sz="0" w:space="0" w:color="auto"/>
                <w:left w:val="none" w:sz="0" w:space="0" w:color="auto"/>
                <w:bottom w:val="none" w:sz="0" w:space="0" w:color="auto"/>
                <w:right w:val="none" w:sz="0" w:space="0" w:color="auto"/>
              </w:divBdr>
            </w:div>
            <w:div w:id="1949696748">
              <w:marLeft w:val="0"/>
              <w:marRight w:val="0"/>
              <w:marTop w:val="0"/>
              <w:marBottom w:val="0"/>
              <w:divBdr>
                <w:top w:val="none" w:sz="0" w:space="0" w:color="auto"/>
                <w:left w:val="none" w:sz="0" w:space="0" w:color="auto"/>
                <w:bottom w:val="none" w:sz="0" w:space="0" w:color="auto"/>
                <w:right w:val="none" w:sz="0" w:space="0" w:color="auto"/>
              </w:divBdr>
              <w:divsChild>
                <w:div w:id="1698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1248">
          <w:marLeft w:val="0"/>
          <w:marRight w:val="0"/>
          <w:marTop w:val="0"/>
          <w:marBottom w:val="0"/>
          <w:divBdr>
            <w:top w:val="none" w:sz="0" w:space="0" w:color="auto"/>
            <w:left w:val="none" w:sz="0" w:space="0" w:color="auto"/>
            <w:bottom w:val="none" w:sz="0" w:space="0" w:color="auto"/>
            <w:right w:val="none" w:sz="0" w:space="0" w:color="auto"/>
          </w:divBdr>
          <w:divsChild>
            <w:div w:id="1328094039">
              <w:marLeft w:val="0"/>
              <w:marRight w:val="0"/>
              <w:marTop w:val="0"/>
              <w:marBottom w:val="0"/>
              <w:divBdr>
                <w:top w:val="none" w:sz="0" w:space="0" w:color="auto"/>
                <w:left w:val="none" w:sz="0" w:space="0" w:color="auto"/>
                <w:bottom w:val="none" w:sz="0" w:space="0" w:color="auto"/>
                <w:right w:val="none" w:sz="0" w:space="0" w:color="auto"/>
              </w:divBdr>
              <w:divsChild>
                <w:div w:id="1112018200">
                  <w:marLeft w:val="0"/>
                  <w:marRight w:val="0"/>
                  <w:marTop w:val="0"/>
                  <w:marBottom w:val="0"/>
                  <w:divBdr>
                    <w:top w:val="none" w:sz="0" w:space="0" w:color="auto"/>
                    <w:left w:val="none" w:sz="0" w:space="0" w:color="auto"/>
                    <w:bottom w:val="none" w:sz="0" w:space="0" w:color="auto"/>
                    <w:right w:val="none" w:sz="0" w:space="0" w:color="auto"/>
                  </w:divBdr>
                  <w:divsChild>
                    <w:div w:id="2040011112">
                      <w:marLeft w:val="0"/>
                      <w:marRight w:val="0"/>
                      <w:marTop w:val="0"/>
                      <w:marBottom w:val="0"/>
                      <w:divBdr>
                        <w:top w:val="none" w:sz="0" w:space="0" w:color="auto"/>
                        <w:left w:val="none" w:sz="0" w:space="0" w:color="auto"/>
                        <w:bottom w:val="none" w:sz="0" w:space="0" w:color="auto"/>
                        <w:right w:val="none" w:sz="0" w:space="0" w:color="auto"/>
                      </w:divBdr>
                      <w:divsChild>
                        <w:div w:id="1289966321">
                          <w:marLeft w:val="0"/>
                          <w:marRight w:val="0"/>
                          <w:marTop w:val="0"/>
                          <w:marBottom w:val="0"/>
                          <w:divBdr>
                            <w:top w:val="none" w:sz="0" w:space="0" w:color="auto"/>
                            <w:left w:val="none" w:sz="0" w:space="0" w:color="auto"/>
                            <w:bottom w:val="none" w:sz="0" w:space="0" w:color="auto"/>
                            <w:right w:val="none" w:sz="0" w:space="0" w:color="auto"/>
                          </w:divBdr>
                          <w:divsChild>
                            <w:div w:id="1066103508">
                              <w:marLeft w:val="0"/>
                              <w:marRight w:val="0"/>
                              <w:marTop w:val="0"/>
                              <w:marBottom w:val="0"/>
                              <w:divBdr>
                                <w:top w:val="none" w:sz="0" w:space="0" w:color="auto"/>
                                <w:left w:val="none" w:sz="0" w:space="0" w:color="auto"/>
                                <w:bottom w:val="none" w:sz="0" w:space="0" w:color="auto"/>
                                <w:right w:val="none" w:sz="0" w:space="0" w:color="auto"/>
                              </w:divBdr>
                              <w:divsChild>
                                <w:div w:id="1977252714">
                                  <w:marLeft w:val="0"/>
                                  <w:marRight w:val="0"/>
                                  <w:marTop w:val="90"/>
                                  <w:marBottom w:val="0"/>
                                  <w:divBdr>
                                    <w:top w:val="none" w:sz="0" w:space="0" w:color="auto"/>
                                    <w:left w:val="none" w:sz="0" w:space="0" w:color="auto"/>
                                    <w:bottom w:val="none" w:sz="0" w:space="0" w:color="auto"/>
                                    <w:right w:val="none" w:sz="0" w:space="0" w:color="auto"/>
                                  </w:divBdr>
                                  <w:divsChild>
                                    <w:div w:id="1644697855">
                                      <w:marLeft w:val="0"/>
                                      <w:marRight w:val="0"/>
                                      <w:marTop w:val="0"/>
                                      <w:marBottom w:val="660"/>
                                      <w:divBdr>
                                        <w:top w:val="none" w:sz="0" w:space="0" w:color="auto"/>
                                        <w:left w:val="none" w:sz="0" w:space="0" w:color="auto"/>
                                        <w:bottom w:val="none" w:sz="0" w:space="0" w:color="auto"/>
                                        <w:right w:val="none" w:sz="0" w:space="0" w:color="auto"/>
                                      </w:divBdr>
                                      <w:divsChild>
                                        <w:div w:id="203442804">
                                          <w:marLeft w:val="0"/>
                                          <w:marRight w:val="0"/>
                                          <w:marTop w:val="0"/>
                                          <w:marBottom w:val="450"/>
                                          <w:divBdr>
                                            <w:top w:val="none" w:sz="0" w:space="0" w:color="auto"/>
                                            <w:left w:val="none" w:sz="0" w:space="0" w:color="auto"/>
                                            <w:bottom w:val="none" w:sz="0" w:space="0" w:color="auto"/>
                                            <w:right w:val="none" w:sz="0" w:space="0" w:color="auto"/>
                                          </w:divBdr>
                                          <w:divsChild>
                                            <w:div w:id="1287082861">
                                              <w:marLeft w:val="0"/>
                                              <w:marRight w:val="0"/>
                                              <w:marTop w:val="0"/>
                                              <w:marBottom w:val="0"/>
                                              <w:divBdr>
                                                <w:top w:val="none" w:sz="0" w:space="0" w:color="auto"/>
                                                <w:left w:val="none" w:sz="0" w:space="0" w:color="auto"/>
                                                <w:bottom w:val="none" w:sz="0" w:space="0" w:color="auto"/>
                                                <w:right w:val="none" w:sz="0" w:space="0" w:color="auto"/>
                                              </w:divBdr>
                                              <w:divsChild>
                                                <w:div w:id="1636711744">
                                                  <w:marLeft w:val="0"/>
                                                  <w:marRight w:val="0"/>
                                                  <w:marTop w:val="0"/>
                                                  <w:marBottom w:val="0"/>
                                                  <w:divBdr>
                                                    <w:top w:val="none" w:sz="0" w:space="0" w:color="auto"/>
                                                    <w:left w:val="none" w:sz="0" w:space="0" w:color="auto"/>
                                                    <w:bottom w:val="none" w:sz="0" w:space="0" w:color="auto"/>
                                                    <w:right w:val="none" w:sz="0" w:space="0" w:color="auto"/>
                                                  </w:divBdr>
                                                  <w:divsChild>
                                                    <w:div w:id="1371564989">
                                                      <w:marLeft w:val="0"/>
                                                      <w:marRight w:val="0"/>
                                                      <w:marTop w:val="0"/>
                                                      <w:marBottom w:val="0"/>
                                                      <w:divBdr>
                                                        <w:top w:val="none" w:sz="0" w:space="0" w:color="auto"/>
                                                        <w:left w:val="none" w:sz="0" w:space="0" w:color="auto"/>
                                                        <w:bottom w:val="none" w:sz="0" w:space="0" w:color="auto"/>
                                                        <w:right w:val="none" w:sz="0" w:space="0" w:color="auto"/>
                                                      </w:divBdr>
                                                      <w:divsChild>
                                                        <w:div w:id="1371103224">
                                                          <w:marLeft w:val="0"/>
                                                          <w:marRight w:val="0"/>
                                                          <w:marTop w:val="0"/>
                                                          <w:marBottom w:val="0"/>
                                                          <w:divBdr>
                                                            <w:top w:val="none" w:sz="0" w:space="0" w:color="auto"/>
                                                            <w:left w:val="none" w:sz="0" w:space="0" w:color="auto"/>
                                                            <w:bottom w:val="none" w:sz="0" w:space="0" w:color="auto"/>
                                                            <w:right w:val="none" w:sz="0" w:space="0" w:color="auto"/>
                                                          </w:divBdr>
                                                          <w:divsChild>
                                                            <w:div w:id="1133720295">
                                                              <w:marLeft w:val="0"/>
                                                              <w:marRight w:val="0"/>
                                                              <w:marTop w:val="0"/>
                                                              <w:marBottom w:val="0"/>
                                                              <w:divBdr>
                                                                <w:top w:val="none" w:sz="0" w:space="0" w:color="auto"/>
                                                                <w:left w:val="none" w:sz="0" w:space="0" w:color="auto"/>
                                                                <w:bottom w:val="none" w:sz="0" w:space="0" w:color="auto"/>
                                                                <w:right w:val="none" w:sz="0" w:space="0" w:color="auto"/>
                                                              </w:divBdr>
                                                              <w:divsChild>
                                                                <w:div w:id="1951424801">
                                                                  <w:marLeft w:val="0"/>
                                                                  <w:marRight w:val="0"/>
                                                                  <w:marTop w:val="0"/>
                                                                  <w:marBottom w:val="0"/>
                                                                  <w:divBdr>
                                                                    <w:top w:val="none" w:sz="0" w:space="0" w:color="auto"/>
                                                                    <w:left w:val="none" w:sz="0" w:space="0" w:color="auto"/>
                                                                    <w:bottom w:val="none" w:sz="0" w:space="0" w:color="auto"/>
                                                                    <w:right w:val="none" w:sz="0" w:space="0" w:color="auto"/>
                                                                  </w:divBdr>
                                                                  <w:divsChild>
                                                                    <w:div w:id="2057703765">
                                                                      <w:marLeft w:val="0"/>
                                                                      <w:marRight w:val="0"/>
                                                                      <w:marTop w:val="0"/>
                                                                      <w:marBottom w:val="0"/>
                                                                      <w:divBdr>
                                                                        <w:top w:val="none" w:sz="0" w:space="0" w:color="auto"/>
                                                                        <w:left w:val="none" w:sz="0" w:space="0" w:color="auto"/>
                                                                        <w:bottom w:val="none" w:sz="0" w:space="0" w:color="auto"/>
                                                                        <w:right w:val="none" w:sz="0" w:space="0" w:color="auto"/>
                                                                      </w:divBdr>
                                                                      <w:divsChild>
                                                                        <w:div w:id="17975324">
                                                                          <w:marLeft w:val="0"/>
                                                                          <w:marRight w:val="0"/>
                                                                          <w:marTop w:val="0"/>
                                                                          <w:marBottom w:val="0"/>
                                                                          <w:divBdr>
                                                                            <w:top w:val="none" w:sz="0" w:space="0" w:color="auto"/>
                                                                            <w:left w:val="none" w:sz="0" w:space="0" w:color="auto"/>
                                                                            <w:bottom w:val="none" w:sz="0" w:space="0" w:color="auto"/>
                                                                            <w:right w:val="none" w:sz="0" w:space="0" w:color="auto"/>
                                                                          </w:divBdr>
                                                                          <w:divsChild>
                                                                            <w:div w:id="280189440">
                                                                              <w:marLeft w:val="0"/>
                                                                              <w:marRight w:val="0"/>
                                                                              <w:marTop w:val="0"/>
                                                                              <w:marBottom w:val="0"/>
                                                                              <w:divBdr>
                                                                                <w:top w:val="none" w:sz="0" w:space="0" w:color="auto"/>
                                                                                <w:left w:val="none" w:sz="0" w:space="0" w:color="auto"/>
                                                                                <w:bottom w:val="none" w:sz="0" w:space="0" w:color="auto"/>
                                                                                <w:right w:val="none" w:sz="0" w:space="0" w:color="auto"/>
                                                                              </w:divBdr>
                                                                              <w:divsChild>
                                                                                <w:div w:id="235633039">
                                                                                  <w:marLeft w:val="300"/>
                                                                                  <w:marRight w:val="0"/>
                                                                                  <w:marTop w:val="0"/>
                                                                                  <w:marBottom w:val="240"/>
                                                                                  <w:divBdr>
                                                                                    <w:top w:val="none" w:sz="0" w:space="0" w:color="auto"/>
                                                                                    <w:left w:val="none" w:sz="0" w:space="0" w:color="auto"/>
                                                                                    <w:bottom w:val="none" w:sz="0" w:space="0" w:color="auto"/>
                                                                                    <w:right w:val="none" w:sz="0" w:space="0" w:color="auto"/>
                                                                                  </w:divBdr>
                                                                                  <w:divsChild>
                                                                                    <w:div w:id="1716467539">
                                                                                      <w:marLeft w:val="0"/>
                                                                                      <w:marRight w:val="0"/>
                                                                                      <w:marTop w:val="0"/>
                                                                                      <w:marBottom w:val="0"/>
                                                                                      <w:divBdr>
                                                                                        <w:top w:val="none" w:sz="0" w:space="0" w:color="auto"/>
                                                                                        <w:left w:val="none" w:sz="0" w:space="0" w:color="auto"/>
                                                                                        <w:bottom w:val="none" w:sz="0" w:space="0" w:color="auto"/>
                                                                                        <w:right w:val="none" w:sz="0" w:space="0" w:color="auto"/>
                                                                                      </w:divBdr>
                                                                                      <w:divsChild>
                                                                                        <w:div w:id="1959288531">
                                                                                          <w:marLeft w:val="0"/>
                                                                                          <w:marRight w:val="0"/>
                                                                                          <w:marTop w:val="0"/>
                                                                                          <w:marBottom w:val="0"/>
                                                                                          <w:divBdr>
                                                                                            <w:top w:val="none" w:sz="0" w:space="0" w:color="auto"/>
                                                                                            <w:left w:val="none" w:sz="0" w:space="0" w:color="auto"/>
                                                                                            <w:bottom w:val="none" w:sz="0" w:space="0" w:color="auto"/>
                                                                                            <w:right w:val="none" w:sz="0" w:space="0" w:color="auto"/>
                                                                                          </w:divBdr>
                                                                                          <w:divsChild>
                                                                                            <w:div w:id="929780138">
                                                                                              <w:marLeft w:val="0"/>
                                                                                              <w:marRight w:val="0"/>
                                                                                              <w:marTop w:val="0"/>
                                                                                              <w:marBottom w:val="0"/>
                                                                                              <w:divBdr>
                                                                                                <w:top w:val="none" w:sz="0" w:space="0" w:color="auto"/>
                                                                                                <w:left w:val="none" w:sz="0" w:space="0" w:color="auto"/>
                                                                                                <w:bottom w:val="none" w:sz="0" w:space="0" w:color="auto"/>
                                                                                                <w:right w:val="none" w:sz="0" w:space="0" w:color="auto"/>
                                                                                              </w:divBdr>
                                                                                              <w:divsChild>
                                                                                                <w:div w:id="1307933633">
                                                                                                  <w:marLeft w:val="0"/>
                                                                                                  <w:marRight w:val="0"/>
                                                                                                  <w:marTop w:val="0"/>
                                                                                                  <w:marBottom w:val="0"/>
                                                                                                  <w:divBdr>
                                                                                                    <w:top w:val="none" w:sz="0" w:space="0" w:color="auto"/>
                                                                                                    <w:left w:val="none" w:sz="0" w:space="0" w:color="auto"/>
                                                                                                    <w:bottom w:val="none" w:sz="0" w:space="0" w:color="auto"/>
                                                                                                    <w:right w:val="none" w:sz="0" w:space="0" w:color="auto"/>
                                                                                                  </w:divBdr>
                                                                                                  <w:divsChild>
                                                                                                    <w:div w:id="1308824753">
                                                                                                      <w:marLeft w:val="0"/>
                                                                                                      <w:marRight w:val="0"/>
                                                                                                      <w:marTop w:val="0"/>
                                                                                                      <w:marBottom w:val="0"/>
                                                                                                      <w:divBdr>
                                                                                                        <w:top w:val="none" w:sz="0" w:space="0" w:color="auto"/>
                                                                                                        <w:left w:val="none" w:sz="0" w:space="0" w:color="auto"/>
                                                                                                        <w:bottom w:val="none" w:sz="0" w:space="0" w:color="auto"/>
                                                                                                        <w:right w:val="none" w:sz="0" w:space="0" w:color="auto"/>
                                                                                                      </w:divBdr>
                                                                                                      <w:divsChild>
                                                                                                        <w:div w:id="1052265452">
                                                                                                          <w:marLeft w:val="0"/>
                                                                                                          <w:marRight w:val="0"/>
                                                                                                          <w:marTop w:val="0"/>
                                                                                                          <w:marBottom w:val="0"/>
                                                                                                          <w:divBdr>
                                                                                                            <w:top w:val="none" w:sz="0" w:space="0" w:color="auto"/>
                                                                                                            <w:left w:val="none" w:sz="0" w:space="0" w:color="auto"/>
                                                                                                            <w:bottom w:val="none" w:sz="0" w:space="0" w:color="auto"/>
                                                                                                            <w:right w:val="none" w:sz="0" w:space="0" w:color="auto"/>
                                                                                                          </w:divBdr>
                                                                                                          <w:divsChild>
                                                                                                            <w:div w:id="1429275640">
                                                                                                              <w:marLeft w:val="0"/>
                                                                                                              <w:marRight w:val="0"/>
                                                                                                              <w:marTop w:val="0"/>
                                                                                                              <w:marBottom w:val="0"/>
                                                                                                              <w:divBdr>
                                                                                                                <w:top w:val="none" w:sz="0" w:space="0" w:color="auto"/>
                                                                                                                <w:left w:val="none" w:sz="0" w:space="0" w:color="auto"/>
                                                                                                                <w:bottom w:val="none" w:sz="0" w:space="0" w:color="auto"/>
                                                                                                                <w:right w:val="none" w:sz="0" w:space="0" w:color="auto"/>
                                                                                                              </w:divBdr>
                                                                                                              <w:divsChild>
                                                                                                                <w:div w:id="1134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51548">
                                                                              <w:marLeft w:val="0"/>
                                                                              <w:marRight w:val="0"/>
                                                                              <w:marTop w:val="0"/>
                                                                              <w:marBottom w:val="0"/>
                                                                              <w:divBdr>
                                                                                <w:top w:val="none" w:sz="0" w:space="0" w:color="auto"/>
                                                                                <w:left w:val="none" w:sz="0" w:space="0" w:color="auto"/>
                                                                                <w:bottom w:val="none" w:sz="0" w:space="0" w:color="auto"/>
                                                                                <w:right w:val="none" w:sz="0" w:space="0" w:color="auto"/>
                                                                              </w:divBdr>
                                                                              <w:divsChild>
                                                                                <w:div w:id="533346954">
                                                                                  <w:marLeft w:val="0"/>
                                                                                  <w:marRight w:val="0"/>
                                                                                  <w:marTop w:val="0"/>
                                                                                  <w:marBottom w:val="0"/>
                                                                                  <w:divBdr>
                                                                                    <w:top w:val="none" w:sz="0" w:space="0" w:color="auto"/>
                                                                                    <w:left w:val="none" w:sz="0" w:space="0" w:color="auto"/>
                                                                                    <w:bottom w:val="none" w:sz="0" w:space="0" w:color="auto"/>
                                                                                    <w:right w:val="none" w:sz="0" w:space="0" w:color="auto"/>
                                                                                  </w:divBdr>
                                                                                  <w:divsChild>
                                                                                    <w:div w:id="1447698191">
                                                                                      <w:marLeft w:val="0"/>
                                                                                      <w:marRight w:val="0"/>
                                                                                      <w:marTop w:val="0"/>
                                                                                      <w:marBottom w:val="0"/>
                                                                                      <w:divBdr>
                                                                                        <w:top w:val="none" w:sz="0" w:space="0" w:color="auto"/>
                                                                                        <w:left w:val="none" w:sz="0" w:space="0" w:color="auto"/>
                                                                                        <w:bottom w:val="none" w:sz="0" w:space="0" w:color="auto"/>
                                                                                        <w:right w:val="none" w:sz="0" w:space="0" w:color="auto"/>
                                                                                      </w:divBdr>
                                                                                      <w:divsChild>
                                                                                        <w:div w:id="737243726">
                                                                                          <w:marLeft w:val="0"/>
                                                                                          <w:marRight w:val="0"/>
                                                                                          <w:marTop w:val="0"/>
                                                                                          <w:marBottom w:val="0"/>
                                                                                          <w:divBdr>
                                                                                            <w:top w:val="none" w:sz="0" w:space="0" w:color="auto"/>
                                                                                            <w:left w:val="none" w:sz="0" w:space="0" w:color="auto"/>
                                                                                            <w:bottom w:val="none" w:sz="0" w:space="0" w:color="auto"/>
                                                                                            <w:right w:val="none" w:sz="0" w:space="0" w:color="auto"/>
                                                                                          </w:divBdr>
                                                                                          <w:divsChild>
                                                                                            <w:div w:id="14646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64861">
      <w:bodyDiv w:val="1"/>
      <w:marLeft w:val="0"/>
      <w:marRight w:val="0"/>
      <w:marTop w:val="0"/>
      <w:marBottom w:val="0"/>
      <w:divBdr>
        <w:top w:val="none" w:sz="0" w:space="0" w:color="auto"/>
        <w:left w:val="none" w:sz="0" w:space="0" w:color="auto"/>
        <w:bottom w:val="none" w:sz="0" w:space="0" w:color="auto"/>
        <w:right w:val="none" w:sz="0" w:space="0" w:color="auto"/>
      </w:divBdr>
    </w:div>
    <w:div w:id="1270624005">
      <w:bodyDiv w:val="1"/>
      <w:marLeft w:val="0"/>
      <w:marRight w:val="0"/>
      <w:marTop w:val="0"/>
      <w:marBottom w:val="0"/>
      <w:divBdr>
        <w:top w:val="none" w:sz="0" w:space="0" w:color="auto"/>
        <w:left w:val="none" w:sz="0" w:space="0" w:color="auto"/>
        <w:bottom w:val="none" w:sz="0" w:space="0" w:color="auto"/>
        <w:right w:val="none" w:sz="0" w:space="0" w:color="auto"/>
      </w:divBdr>
    </w:div>
    <w:div w:id="1272711346">
      <w:bodyDiv w:val="1"/>
      <w:marLeft w:val="0"/>
      <w:marRight w:val="0"/>
      <w:marTop w:val="0"/>
      <w:marBottom w:val="0"/>
      <w:divBdr>
        <w:top w:val="none" w:sz="0" w:space="0" w:color="auto"/>
        <w:left w:val="none" w:sz="0" w:space="0" w:color="auto"/>
        <w:bottom w:val="none" w:sz="0" w:space="0" w:color="auto"/>
        <w:right w:val="none" w:sz="0" w:space="0" w:color="auto"/>
      </w:divBdr>
    </w:div>
    <w:div w:id="1332374406">
      <w:bodyDiv w:val="1"/>
      <w:marLeft w:val="0"/>
      <w:marRight w:val="0"/>
      <w:marTop w:val="0"/>
      <w:marBottom w:val="0"/>
      <w:divBdr>
        <w:top w:val="none" w:sz="0" w:space="0" w:color="auto"/>
        <w:left w:val="none" w:sz="0" w:space="0" w:color="auto"/>
        <w:bottom w:val="none" w:sz="0" w:space="0" w:color="auto"/>
        <w:right w:val="none" w:sz="0" w:space="0" w:color="auto"/>
      </w:divBdr>
    </w:div>
    <w:div w:id="1356223873">
      <w:bodyDiv w:val="1"/>
      <w:marLeft w:val="0"/>
      <w:marRight w:val="0"/>
      <w:marTop w:val="0"/>
      <w:marBottom w:val="0"/>
      <w:divBdr>
        <w:top w:val="none" w:sz="0" w:space="0" w:color="auto"/>
        <w:left w:val="none" w:sz="0" w:space="0" w:color="auto"/>
        <w:bottom w:val="none" w:sz="0" w:space="0" w:color="auto"/>
        <w:right w:val="none" w:sz="0" w:space="0" w:color="auto"/>
      </w:divBdr>
    </w:div>
    <w:div w:id="1356346582">
      <w:bodyDiv w:val="1"/>
      <w:marLeft w:val="0"/>
      <w:marRight w:val="0"/>
      <w:marTop w:val="0"/>
      <w:marBottom w:val="0"/>
      <w:divBdr>
        <w:top w:val="none" w:sz="0" w:space="0" w:color="auto"/>
        <w:left w:val="none" w:sz="0" w:space="0" w:color="auto"/>
        <w:bottom w:val="none" w:sz="0" w:space="0" w:color="auto"/>
        <w:right w:val="none" w:sz="0" w:space="0" w:color="auto"/>
      </w:divBdr>
    </w:div>
    <w:div w:id="1358697293">
      <w:bodyDiv w:val="1"/>
      <w:marLeft w:val="0"/>
      <w:marRight w:val="0"/>
      <w:marTop w:val="0"/>
      <w:marBottom w:val="0"/>
      <w:divBdr>
        <w:top w:val="none" w:sz="0" w:space="0" w:color="auto"/>
        <w:left w:val="none" w:sz="0" w:space="0" w:color="auto"/>
        <w:bottom w:val="none" w:sz="0" w:space="0" w:color="auto"/>
        <w:right w:val="none" w:sz="0" w:space="0" w:color="auto"/>
      </w:divBdr>
    </w:div>
    <w:div w:id="1386366376">
      <w:bodyDiv w:val="1"/>
      <w:marLeft w:val="0"/>
      <w:marRight w:val="0"/>
      <w:marTop w:val="0"/>
      <w:marBottom w:val="0"/>
      <w:divBdr>
        <w:top w:val="none" w:sz="0" w:space="0" w:color="auto"/>
        <w:left w:val="none" w:sz="0" w:space="0" w:color="auto"/>
        <w:bottom w:val="none" w:sz="0" w:space="0" w:color="auto"/>
        <w:right w:val="none" w:sz="0" w:space="0" w:color="auto"/>
      </w:divBdr>
    </w:div>
    <w:div w:id="1432122749">
      <w:bodyDiv w:val="1"/>
      <w:marLeft w:val="0"/>
      <w:marRight w:val="0"/>
      <w:marTop w:val="0"/>
      <w:marBottom w:val="0"/>
      <w:divBdr>
        <w:top w:val="none" w:sz="0" w:space="0" w:color="auto"/>
        <w:left w:val="none" w:sz="0" w:space="0" w:color="auto"/>
        <w:bottom w:val="none" w:sz="0" w:space="0" w:color="auto"/>
        <w:right w:val="none" w:sz="0" w:space="0" w:color="auto"/>
      </w:divBdr>
    </w:div>
    <w:div w:id="1507591329">
      <w:bodyDiv w:val="1"/>
      <w:marLeft w:val="0"/>
      <w:marRight w:val="0"/>
      <w:marTop w:val="0"/>
      <w:marBottom w:val="0"/>
      <w:divBdr>
        <w:top w:val="none" w:sz="0" w:space="0" w:color="auto"/>
        <w:left w:val="none" w:sz="0" w:space="0" w:color="auto"/>
        <w:bottom w:val="none" w:sz="0" w:space="0" w:color="auto"/>
        <w:right w:val="none" w:sz="0" w:space="0" w:color="auto"/>
      </w:divBdr>
    </w:div>
    <w:div w:id="1541936542">
      <w:bodyDiv w:val="1"/>
      <w:marLeft w:val="0"/>
      <w:marRight w:val="0"/>
      <w:marTop w:val="0"/>
      <w:marBottom w:val="0"/>
      <w:divBdr>
        <w:top w:val="none" w:sz="0" w:space="0" w:color="auto"/>
        <w:left w:val="none" w:sz="0" w:space="0" w:color="auto"/>
        <w:bottom w:val="none" w:sz="0" w:space="0" w:color="auto"/>
        <w:right w:val="none" w:sz="0" w:space="0" w:color="auto"/>
      </w:divBdr>
    </w:div>
    <w:div w:id="1548445568">
      <w:bodyDiv w:val="1"/>
      <w:marLeft w:val="0"/>
      <w:marRight w:val="0"/>
      <w:marTop w:val="0"/>
      <w:marBottom w:val="0"/>
      <w:divBdr>
        <w:top w:val="none" w:sz="0" w:space="0" w:color="auto"/>
        <w:left w:val="none" w:sz="0" w:space="0" w:color="auto"/>
        <w:bottom w:val="none" w:sz="0" w:space="0" w:color="auto"/>
        <w:right w:val="none" w:sz="0" w:space="0" w:color="auto"/>
      </w:divBdr>
    </w:div>
    <w:div w:id="1574852546">
      <w:bodyDiv w:val="1"/>
      <w:marLeft w:val="0"/>
      <w:marRight w:val="0"/>
      <w:marTop w:val="0"/>
      <w:marBottom w:val="0"/>
      <w:divBdr>
        <w:top w:val="none" w:sz="0" w:space="0" w:color="auto"/>
        <w:left w:val="none" w:sz="0" w:space="0" w:color="auto"/>
        <w:bottom w:val="none" w:sz="0" w:space="0" w:color="auto"/>
        <w:right w:val="none" w:sz="0" w:space="0" w:color="auto"/>
      </w:divBdr>
    </w:div>
    <w:div w:id="1638297701">
      <w:bodyDiv w:val="1"/>
      <w:marLeft w:val="0"/>
      <w:marRight w:val="0"/>
      <w:marTop w:val="0"/>
      <w:marBottom w:val="0"/>
      <w:divBdr>
        <w:top w:val="none" w:sz="0" w:space="0" w:color="auto"/>
        <w:left w:val="none" w:sz="0" w:space="0" w:color="auto"/>
        <w:bottom w:val="none" w:sz="0" w:space="0" w:color="auto"/>
        <w:right w:val="none" w:sz="0" w:space="0" w:color="auto"/>
      </w:divBdr>
    </w:div>
    <w:div w:id="1701316461">
      <w:bodyDiv w:val="1"/>
      <w:marLeft w:val="0"/>
      <w:marRight w:val="0"/>
      <w:marTop w:val="0"/>
      <w:marBottom w:val="0"/>
      <w:divBdr>
        <w:top w:val="none" w:sz="0" w:space="0" w:color="auto"/>
        <w:left w:val="none" w:sz="0" w:space="0" w:color="auto"/>
        <w:bottom w:val="none" w:sz="0" w:space="0" w:color="auto"/>
        <w:right w:val="none" w:sz="0" w:space="0" w:color="auto"/>
      </w:divBdr>
    </w:div>
    <w:div w:id="1778869205">
      <w:bodyDiv w:val="1"/>
      <w:marLeft w:val="0"/>
      <w:marRight w:val="0"/>
      <w:marTop w:val="0"/>
      <w:marBottom w:val="0"/>
      <w:divBdr>
        <w:top w:val="none" w:sz="0" w:space="0" w:color="auto"/>
        <w:left w:val="none" w:sz="0" w:space="0" w:color="auto"/>
        <w:bottom w:val="none" w:sz="0" w:space="0" w:color="auto"/>
        <w:right w:val="none" w:sz="0" w:space="0" w:color="auto"/>
      </w:divBdr>
    </w:div>
    <w:div w:id="1799296794">
      <w:bodyDiv w:val="1"/>
      <w:marLeft w:val="0"/>
      <w:marRight w:val="0"/>
      <w:marTop w:val="0"/>
      <w:marBottom w:val="0"/>
      <w:divBdr>
        <w:top w:val="none" w:sz="0" w:space="0" w:color="auto"/>
        <w:left w:val="none" w:sz="0" w:space="0" w:color="auto"/>
        <w:bottom w:val="none" w:sz="0" w:space="0" w:color="auto"/>
        <w:right w:val="none" w:sz="0" w:space="0" w:color="auto"/>
      </w:divBdr>
    </w:div>
    <w:div w:id="1909149744">
      <w:bodyDiv w:val="1"/>
      <w:marLeft w:val="0"/>
      <w:marRight w:val="0"/>
      <w:marTop w:val="0"/>
      <w:marBottom w:val="0"/>
      <w:divBdr>
        <w:top w:val="none" w:sz="0" w:space="0" w:color="auto"/>
        <w:left w:val="none" w:sz="0" w:space="0" w:color="auto"/>
        <w:bottom w:val="none" w:sz="0" w:space="0" w:color="auto"/>
        <w:right w:val="none" w:sz="0" w:space="0" w:color="auto"/>
      </w:divBdr>
    </w:div>
    <w:div w:id="1909923288">
      <w:bodyDiv w:val="1"/>
      <w:marLeft w:val="0"/>
      <w:marRight w:val="0"/>
      <w:marTop w:val="0"/>
      <w:marBottom w:val="0"/>
      <w:divBdr>
        <w:top w:val="none" w:sz="0" w:space="0" w:color="auto"/>
        <w:left w:val="none" w:sz="0" w:space="0" w:color="auto"/>
        <w:bottom w:val="none" w:sz="0" w:space="0" w:color="auto"/>
        <w:right w:val="none" w:sz="0" w:space="0" w:color="auto"/>
      </w:divBdr>
    </w:div>
    <w:div w:id="1932156007">
      <w:bodyDiv w:val="1"/>
      <w:marLeft w:val="0"/>
      <w:marRight w:val="0"/>
      <w:marTop w:val="0"/>
      <w:marBottom w:val="0"/>
      <w:divBdr>
        <w:top w:val="none" w:sz="0" w:space="0" w:color="auto"/>
        <w:left w:val="none" w:sz="0" w:space="0" w:color="auto"/>
        <w:bottom w:val="none" w:sz="0" w:space="0" w:color="auto"/>
        <w:right w:val="none" w:sz="0" w:space="0" w:color="auto"/>
      </w:divBdr>
    </w:div>
    <w:div w:id="1945336123">
      <w:bodyDiv w:val="1"/>
      <w:marLeft w:val="0"/>
      <w:marRight w:val="0"/>
      <w:marTop w:val="0"/>
      <w:marBottom w:val="0"/>
      <w:divBdr>
        <w:top w:val="none" w:sz="0" w:space="0" w:color="auto"/>
        <w:left w:val="none" w:sz="0" w:space="0" w:color="auto"/>
        <w:bottom w:val="none" w:sz="0" w:space="0" w:color="auto"/>
        <w:right w:val="none" w:sz="0" w:space="0" w:color="auto"/>
      </w:divBdr>
    </w:div>
    <w:div w:id="1968393001">
      <w:bodyDiv w:val="1"/>
      <w:marLeft w:val="0"/>
      <w:marRight w:val="0"/>
      <w:marTop w:val="0"/>
      <w:marBottom w:val="0"/>
      <w:divBdr>
        <w:top w:val="none" w:sz="0" w:space="0" w:color="auto"/>
        <w:left w:val="none" w:sz="0" w:space="0" w:color="auto"/>
        <w:bottom w:val="none" w:sz="0" w:space="0" w:color="auto"/>
        <w:right w:val="none" w:sz="0" w:space="0" w:color="auto"/>
      </w:divBdr>
    </w:div>
    <w:div w:id="2003659428">
      <w:bodyDiv w:val="1"/>
      <w:marLeft w:val="0"/>
      <w:marRight w:val="0"/>
      <w:marTop w:val="0"/>
      <w:marBottom w:val="0"/>
      <w:divBdr>
        <w:top w:val="none" w:sz="0" w:space="0" w:color="auto"/>
        <w:left w:val="none" w:sz="0" w:space="0" w:color="auto"/>
        <w:bottom w:val="none" w:sz="0" w:space="0" w:color="auto"/>
        <w:right w:val="none" w:sz="0" w:space="0" w:color="auto"/>
      </w:divBdr>
    </w:div>
    <w:div w:id="2056729263">
      <w:bodyDiv w:val="1"/>
      <w:marLeft w:val="0"/>
      <w:marRight w:val="0"/>
      <w:marTop w:val="0"/>
      <w:marBottom w:val="0"/>
      <w:divBdr>
        <w:top w:val="none" w:sz="0" w:space="0" w:color="auto"/>
        <w:left w:val="none" w:sz="0" w:space="0" w:color="auto"/>
        <w:bottom w:val="none" w:sz="0" w:space="0" w:color="auto"/>
        <w:right w:val="none" w:sz="0" w:space="0" w:color="auto"/>
      </w:divBdr>
    </w:div>
    <w:div w:id="207874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ryn.anastassopoulos@covance.com" TargetMode="External"/><Relationship Id="rId13" Type="http://schemas.openxmlformats.org/officeDocument/2006/relationships/hyperlink" Target="https://doi.org/10.6084/m9.figshare.200133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ruetsch@healthanalytic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m2010@med.cornel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Laura.Kauffman@labcor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colman@covance.com" TargetMode="External"/><Relationship Id="rId14" Type="http://schemas.openxmlformats.org/officeDocument/2006/relationships/hyperlink" Target="https://www.cdc.gov/nchs/nvss/vsrr/drug-overdose-data.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B825-75F5-48FF-AF5E-A24E5657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10653</Words>
  <Characters>60728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Sumeyye Soydemir</cp:lastModifiedBy>
  <cp:revision>2</cp:revision>
  <cp:lastPrinted>2022-02-22T23:19:00Z</cp:lastPrinted>
  <dcterms:created xsi:type="dcterms:W3CDTF">2022-06-08T17:54:00Z</dcterms:created>
  <dcterms:modified xsi:type="dcterms:W3CDTF">2022-06-08T17:54:00Z</dcterms:modified>
  <cp:category/>
</cp:coreProperties>
</file>