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F7EC7" w14:textId="61A47B18" w:rsidR="00A7749B" w:rsidRPr="00842FE5" w:rsidRDefault="00A84948" w:rsidP="005F0087">
      <w:pPr>
        <w:tabs>
          <w:tab w:val="left" w:pos="709"/>
        </w:tabs>
        <w:spacing w:line="480" w:lineRule="auto"/>
        <w:rPr>
          <w:rFonts w:ascii="Times New Roman" w:hAnsi="Times New Roman" w:cs="Times New Roman"/>
          <w:b/>
          <w:bCs/>
          <w:color w:val="0D0D0D" w:themeColor="text1" w:themeTint="F2"/>
          <w:sz w:val="24"/>
          <w:szCs w:val="24"/>
        </w:rPr>
      </w:pPr>
      <w:r w:rsidRPr="00842FE5">
        <w:rPr>
          <w:rFonts w:ascii="Times New Roman" w:hAnsi="Times New Roman" w:cs="Times New Roman"/>
          <w:b/>
          <w:bCs/>
          <w:color w:val="0D0D0D" w:themeColor="text1" w:themeTint="F2"/>
          <w:sz w:val="24"/>
          <w:szCs w:val="24"/>
        </w:rPr>
        <w:t xml:space="preserve">Efficacy and </w:t>
      </w:r>
      <w:r w:rsidR="005F3CA3" w:rsidRPr="00842FE5">
        <w:rPr>
          <w:rFonts w:ascii="Times New Roman" w:hAnsi="Times New Roman" w:cs="Times New Roman"/>
          <w:b/>
          <w:bCs/>
          <w:color w:val="0D0D0D" w:themeColor="text1" w:themeTint="F2"/>
          <w:sz w:val="24"/>
          <w:szCs w:val="24"/>
        </w:rPr>
        <w:t xml:space="preserve">safety of insulin glargine 300 U/mL in people with type 2 diabetes uncontrolled on basal insulin: </w:t>
      </w:r>
      <w:r w:rsidR="008A76F0">
        <w:rPr>
          <w:rFonts w:ascii="Times New Roman" w:hAnsi="Times New Roman" w:cs="Times New Roman"/>
          <w:b/>
          <w:bCs/>
          <w:color w:val="0D0D0D" w:themeColor="text1" w:themeTint="F2"/>
          <w:sz w:val="24"/>
          <w:szCs w:val="24"/>
        </w:rPr>
        <w:t>t</w:t>
      </w:r>
      <w:r w:rsidR="008A76F0" w:rsidRPr="00842FE5">
        <w:rPr>
          <w:rFonts w:ascii="Times New Roman" w:hAnsi="Times New Roman" w:cs="Times New Roman"/>
          <w:b/>
          <w:bCs/>
          <w:color w:val="0D0D0D" w:themeColor="text1" w:themeTint="F2"/>
          <w:sz w:val="24"/>
          <w:szCs w:val="24"/>
        </w:rPr>
        <w:t xml:space="preserve">he </w:t>
      </w:r>
      <w:r w:rsidR="0097033F">
        <w:rPr>
          <w:rFonts w:ascii="Times New Roman" w:hAnsi="Times New Roman" w:cs="Times New Roman"/>
          <w:b/>
          <w:bCs/>
          <w:color w:val="0D0D0D" w:themeColor="text1" w:themeTint="F2"/>
          <w:sz w:val="24"/>
          <w:szCs w:val="24"/>
        </w:rPr>
        <w:t>26-week i</w:t>
      </w:r>
      <w:bookmarkStart w:id="0" w:name="_GoBack"/>
      <w:bookmarkEnd w:id="0"/>
      <w:r w:rsidR="0097033F">
        <w:rPr>
          <w:rFonts w:ascii="Times New Roman" w:hAnsi="Times New Roman" w:cs="Times New Roman"/>
          <w:b/>
          <w:bCs/>
          <w:color w:val="0D0D0D" w:themeColor="text1" w:themeTint="F2"/>
          <w:sz w:val="24"/>
          <w:szCs w:val="24"/>
        </w:rPr>
        <w:t>nterventional</w:t>
      </w:r>
      <w:r w:rsidR="00A05BB4">
        <w:rPr>
          <w:rFonts w:ascii="Times New Roman" w:hAnsi="Times New Roman" w:cs="Times New Roman"/>
          <w:b/>
          <w:bCs/>
          <w:color w:val="0D0D0D" w:themeColor="text1" w:themeTint="F2"/>
          <w:sz w:val="24"/>
          <w:szCs w:val="24"/>
        </w:rPr>
        <w:t>, sin</w:t>
      </w:r>
      <w:r w:rsidR="00A74BE2">
        <w:rPr>
          <w:rFonts w:ascii="Times New Roman" w:hAnsi="Times New Roman" w:cs="Times New Roman"/>
          <w:b/>
          <w:bCs/>
          <w:color w:val="0D0D0D" w:themeColor="text1" w:themeTint="F2"/>
          <w:sz w:val="24"/>
          <w:szCs w:val="24"/>
        </w:rPr>
        <w:t>g</w:t>
      </w:r>
      <w:r w:rsidR="00A05BB4">
        <w:rPr>
          <w:rFonts w:ascii="Times New Roman" w:hAnsi="Times New Roman" w:cs="Times New Roman"/>
          <w:b/>
          <w:bCs/>
          <w:color w:val="0D0D0D" w:themeColor="text1" w:themeTint="F2"/>
          <w:sz w:val="24"/>
          <w:szCs w:val="24"/>
        </w:rPr>
        <w:t>le-arm</w:t>
      </w:r>
      <w:r w:rsidR="0097033F">
        <w:rPr>
          <w:rFonts w:ascii="Times New Roman" w:hAnsi="Times New Roman" w:cs="Times New Roman"/>
          <w:b/>
          <w:bCs/>
          <w:color w:val="0D0D0D" w:themeColor="text1" w:themeTint="F2"/>
          <w:sz w:val="24"/>
          <w:szCs w:val="24"/>
        </w:rPr>
        <w:t xml:space="preserve"> </w:t>
      </w:r>
      <w:r w:rsidR="005F3CA3" w:rsidRPr="00842FE5">
        <w:rPr>
          <w:rFonts w:ascii="Times New Roman" w:hAnsi="Times New Roman" w:cs="Times New Roman"/>
          <w:b/>
          <w:bCs/>
          <w:color w:val="0D0D0D" w:themeColor="text1" w:themeTint="F2"/>
          <w:sz w:val="24"/>
          <w:szCs w:val="24"/>
        </w:rPr>
        <w:t>ARTEMIS-DM study</w:t>
      </w:r>
    </w:p>
    <w:p w14:paraId="2E54654A" w14:textId="3521F385" w:rsidR="005F0087" w:rsidRPr="00842FE5" w:rsidRDefault="00665A6C" w:rsidP="005F0087">
      <w:pPr>
        <w:tabs>
          <w:tab w:val="left" w:pos="709"/>
        </w:tabs>
        <w:spacing w:line="480" w:lineRule="auto"/>
        <w:rPr>
          <w:rFonts w:ascii="Times New Roman" w:hAnsi="Times New Roman" w:cs="Times New Roman"/>
          <w:color w:val="0D0D0D" w:themeColor="text1" w:themeTint="F2"/>
          <w:sz w:val="24"/>
          <w:szCs w:val="24"/>
          <w:vertAlign w:val="superscript"/>
        </w:rPr>
      </w:pPr>
      <w:r w:rsidRPr="00842FE5">
        <w:rPr>
          <w:rFonts w:ascii="Times New Roman" w:hAnsi="Times New Roman" w:cs="Times New Roman"/>
          <w:color w:val="0D0D0D" w:themeColor="text1" w:themeTint="F2"/>
          <w:sz w:val="24"/>
          <w:szCs w:val="24"/>
        </w:rPr>
        <w:t>Bipin Sethi</w:t>
      </w:r>
      <w:r w:rsidR="003E28F4" w:rsidRPr="00842FE5">
        <w:rPr>
          <w:rFonts w:ascii="Times New Roman" w:hAnsi="Times New Roman" w:cs="Times New Roman"/>
          <w:color w:val="0D0D0D" w:themeColor="text1" w:themeTint="F2"/>
          <w:sz w:val="24"/>
          <w:szCs w:val="24"/>
          <w:vertAlign w:val="superscript"/>
        </w:rPr>
        <w:t>1*</w:t>
      </w:r>
      <w:r w:rsidRPr="00842FE5">
        <w:rPr>
          <w:rFonts w:ascii="Times New Roman" w:hAnsi="Times New Roman" w:cs="Times New Roman"/>
          <w:color w:val="0D0D0D" w:themeColor="text1" w:themeTint="F2"/>
          <w:sz w:val="24"/>
          <w:szCs w:val="24"/>
        </w:rPr>
        <w:t>, Khalid Al-Rubeaan</w:t>
      </w:r>
      <w:r w:rsidR="003E28F4" w:rsidRPr="00842FE5">
        <w:rPr>
          <w:rFonts w:ascii="Times New Roman" w:hAnsi="Times New Roman" w:cs="Times New Roman"/>
          <w:color w:val="0D0D0D" w:themeColor="text1" w:themeTint="F2"/>
          <w:sz w:val="24"/>
          <w:szCs w:val="24"/>
          <w:vertAlign w:val="superscript"/>
        </w:rPr>
        <w:t>2</w:t>
      </w:r>
      <w:r w:rsidRPr="00842FE5">
        <w:rPr>
          <w:rFonts w:ascii="Times New Roman" w:hAnsi="Times New Roman" w:cs="Times New Roman"/>
          <w:color w:val="0D0D0D" w:themeColor="text1" w:themeTint="F2"/>
          <w:sz w:val="24"/>
          <w:szCs w:val="24"/>
        </w:rPr>
        <w:t>, Mustafa Unubol</w:t>
      </w:r>
      <w:r w:rsidR="003E28F4" w:rsidRPr="00842FE5">
        <w:rPr>
          <w:rFonts w:ascii="Times New Roman" w:hAnsi="Times New Roman" w:cs="Times New Roman"/>
          <w:color w:val="0D0D0D" w:themeColor="text1" w:themeTint="F2"/>
          <w:sz w:val="24"/>
          <w:szCs w:val="24"/>
          <w:vertAlign w:val="superscript"/>
        </w:rPr>
        <w:t>3</w:t>
      </w:r>
      <w:r w:rsidRPr="00842FE5">
        <w:rPr>
          <w:rFonts w:ascii="Times New Roman" w:hAnsi="Times New Roman" w:cs="Times New Roman"/>
          <w:color w:val="0D0D0D" w:themeColor="text1" w:themeTint="F2"/>
          <w:sz w:val="24"/>
          <w:szCs w:val="24"/>
        </w:rPr>
        <w:t>, Maria A Mabunay</w:t>
      </w:r>
      <w:r w:rsidR="003E28F4" w:rsidRPr="00842FE5">
        <w:rPr>
          <w:rFonts w:ascii="Times New Roman" w:hAnsi="Times New Roman" w:cs="Times New Roman"/>
          <w:color w:val="0D0D0D" w:themeColor="text1" w:themeTint="F2"/>
          <w:sz w:val="24"/>
          <w:szCs w:val="24"/>
          <w:vertAlign w:val="superscript"/>
        </w:rPr>
        <w:t>4</w:t>
      </w:r>
      <w:r w:rsidRPr="00842FE5">
        <w:rPr>
          <w:rFonts w:ascii="Times New Roman" w:hAnsi="Times New Roman" w:cs="Times New Roman"/>
          <w:color w:val="0D0D0D" w:themeColor="text1" w:themeTint="F2"/>
          <w:sz w:val="24"/>
          <w:szCs w:val="24"/>
        </w:rPr>
        <w:t>, Baptiste</w:t>
      </w:r>
      <w:r w:rsidR="000E70D4" w:rsidRPr="00842FE5">
        <w:rPr>
          <w:rFonts w:ascii="Times New Roman" w:hAnsi="Times New Roman" w:cs="Times New Roman"/>
          <w:color w:val="0D0D0D" w:themeColor="text1" w:themeTint="F2"/>
          <w:sz w:val="24"/>
          <w:szCs w:val="24"/>
        </w:rPr>
        <w:t xml:space="preserve"> </w:t>
      </w:r>
      <w:r w:rsidRPr="00842FE5">
        <w:rPr>
          <w:rFonts w:ascii="Times New Roman" w:hAnsi="Times New Roman" w:cs="Times New Roman"/>
          <w:color w:val="0D0D0D" w:themeColor="text1" w:themeTint="F2"/>
          <w:sz w:val="24"/>
          <w:szCs w:val="24"/>
        </w:rPr>
        <w:t>Berthou</w:t>
      </w:r>
      <w:r w:rsidR="003E28F4" w:rsidRPr="00842FE5">
        <w:rPr>
          <w:rFonts w:ascii="Times New Roman" w:hAnsi="Times New Roman" w:cs="Times New Roman"/>
          <w:color w:val="0D0D0D" w:themeColor="text1" w:themeTint="F2"/>
          <w:sz w:val="24"/>
          <w:szCs w:val="24"/>
          <w:vertAlign w:val="superscript"/>
        </w:rPr>
        <w:t>5</w:t>
      </w:r>
      <w:r w:rsidR="00D03725" w:rsidRPr="00842FE5">
        <w:rPr>
          <w:rFonts w:ascii="Times New Roman" w:hAnsi="Times New Roman" w:cs="Times New Roman"/>
          <w:color w:val="0D0D0D" w:themeColor="text1" w:themeTint="F2"/>
          <w:sz w:val="24"/>
          <w:szCs w:val="24"/>
        </w:rPr>
        <w:t>, Valerie Pilorget</w:t>
      </w:r>
      <w:r w:rsidR="003E28F4" w:rsidRPr="00842FE5">
        <w:rPr>
          <w:rFonts w:ascii="Times New Roman" w:hAnsi="Times New Roman" w:cs="Times New Roman"/>
          <w:color w:val="0D0D0D" w:themeColor="text1" w:themeTint="F2"/>
          <w:sz w:val="24"/>
          <w:szCs w:val="24"/>
          <w:vertAlign w:val="superscript"/>
        </w:rPr>
        <w:t>6</w:t>
      </w:r>
      <w:r w:rsidR="00D03725" w:rsidRPr="00842FE5">
        <w:rPr>
          <w:rFonts w:ascii="Times New Roman" w:hAnsi="Times New Roman" w:cs="Times New Roman"/>
          <w:color w:val="0D0D0D" w:themeColor="text1" w:themeTint="F2"/>
          <w:sz w:val="24"/>
          <w:szCs w:val="24"/>
        </w:rPr>
        <w:t>, Shireene R Vethakkan</w:t>
      </w:r>
      <w:r w:rsidR="003E28F4" w:rsidRPr="00842FE5">
        <w:rPr>
          <w:rFonts w:ascii="Times New Roman" w:hAnsi="Times New Roman" w:cs="Times New Roman"/>
          <w:color w:val="0D0D0D" w:themeColor="text1" w:themeTint="F2"/>
          <w:sz w:val="24"/>
          <w:szCs w:val="24"/>
          <w:vertAlign w:val="superscript"/>
        </w:rPr>
        <w:t>7</w:t>
      </w:r>
      <w:r w:rsidR="00D03725" w:rsidRPr="00842FE5">
        <w:rPr>
          <w:rFonts w:ascii="Times New Roman" w:hAnsi="Times New Roman" w:cs="Times New Roman"/>
          <w:color w:val="0D0D0D" w:themeColor="text1" w:themeTint="F2"/>
          <w:sz w:val="24"/>
          <w:szCs w:val="24"/>
        </w:rPr>
        <w:t>, Gustavo Frechtel</w:t>
      </w:r>
      <w:r w:rsidR="003E28F4" w:rsidRPr="00842FE5">
        <w:rPr>
          <w:rFonts w:ascii="Times New Roman" w:hAnsi="Times New Roman" w:cs="Times New Roman"/>
          <w:color w:val="0D0D0D" w:themeColor="text1" w:themeTint="F2"/>
          <w:sz w:val="24"/>
          <w:szCs w:val="24"/>
          <w:vertAlign w:val="superscript"/>
        </w:rPr>
        <w:t>8</w:t>
      </w:r>
    </w:p>
    <w:p w14:paraId="0C0C1648" w14:textId="16D3F093" w:rsidR="003E28F4" w:rsidRPr="00842FE5" w:rsidRDefault="00B60FF3" w:rsidP="005F0087">
      <w:pPr>
        <w:tabs>
          <w:tab w:val="left" w:pos="709"/>
        </w:tabs>
        <w:spacing w:line="480" w:lineRule="auto"/>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vertAlign w:val="superscript"/>
        </w:rPr>
        <w:t>1</w:t>
      </w:r>
      <w:r w:rsidRPr="00842FE5">
        <w:rPr>
          <w:rFonts w:ascii="Times New Roman" w:hAnsi="Times New Roman" w:cs="Times New Roman"/>
          <w:color w:val="0D0D0D" w:themeColor="text1" w:themeTint="F2"/>
          <w:sz w:val="24"/>
          <w:szCs w:val="24"/>
        </w:rPr>
        <w:t>Care Hospital, Hyderabad</w:t>
      </w:r>
      <w:r w:rsidR="00355ACF" w:rsidRPr="00842FE5">
        <w:rPr>
          <w:rFonts w:ascii="Times New Roman" w:hAnsi="Times New Roman" w:cs="Times New Roman"/>
          <w:color w:val="0D0D0D" w:themeColor="text1" w:themeTint="F2"/>
          <w:sz w:val="24"/>
          <w:szCs w:val="24"/>
        </w:rPr>
        <w:t>,</w:t>
      </w:r>
      <w:r w:rsidRPr="00842FE5">
        <w:rPr>
          <w:rFonts w:ascii="Times New Roman" w:hAnsi="Times New Roman" w:cs="Times New Roman"/>
          <w:color w:val="0D0D0D" w:themeColor="text1" w:themeTint="F2"/>
          <w:sz w:val="24"/>
          <w:szCs w:val="24"/>
        </w:rPr>
        <w:t xml:space="preserve"> India</w:t>
      </w:r>
    </w:p>
    <w:p w14:paraId="6F8D5EC4" w14:textId="1CA7ECEC" w:rsidR="00B60FF3" w:rsidRPr="00842FE5" w:rsidRDefault="00B60FF3" w:rsidP="005F0087">
      <w:pPr>
        <w:tabs>
          <w:tab w:val="left" w:pos="709"/>
        </w:tabs>
        <w:spacing w:line="480" w:lineRule="auto"/>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vertAlign w:val="superscript"/>
        </w:rPr>
        <w:t>2</w:t>
      </w:r>
      <w:r w:rsidRPr="00842FE5">
        <w:rPr>
          <w:rFonts w:ascii="Times New Roman" w:hAnsi="Times New Roman" w:cs="Times New Roman"/>
          <w:color w:val="0D0D0D" w:themeColor="text1" w:themeTint="F2"/>
          <w:sz w:val="24"/>
          <w:szCs w:val="24"/>
        </w:rPr>
        <w:t>Research and Scientific Center Sultan Bin Abdulaziz Humanitarian City</w:t>
      </w:r>
      <w:r w:rsidR="00222AC0" w:rsidRPr="00842FE5">
        <w:rPr>
          <w:rFonts w:ascii="Times New Roman" w:hAnsi="Times New Roman" w:cs="Times New Roman"/>
          <w:color w:val="0D0D0D" w:themeColor="text1" w:themeTint="F2"/>
          <w:sz w:val="24"/>
          <w:szCs w:val="24"/>
        </w:rPr>
        <w:t>, Riyadh, Saudi Arabia</w:t>
      </w:r>
    </w:p>
    <w:p w14:paraId="4962ADDB" w14:textId="5C9D104C" w:rsidR="00B60FF3" w:rsidRPr="00842FE5" w:rsidRDefault="00B60FF3" w:rsidP="005F0087">
      <w:pPr>
        <w:tabs>
          <w:tab w:val="left" w:pos="709"/>
        </w:tabs>
        <w:spacing w:line="480" w:lineRule="auto"/>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vertAlign w:val="superscript"/>
        </w:rPr>
        <w:t>3</w:t>
      </w:r>
      <w:r w:rsidRPr="00842FE5">
        <w:rPr>
          <w:rFonts w:ascii="Times New Roman" w:hAnsi="Times New Roman" w:cs="Times New Roman"/>
          <w:color w:val="0D0D0D" w:themeColor="text1" w:themeTint="F2"/>
          <w:sz w:val="24"/>
          <w:szCs w:val="24"/>
        </w:rPr>
        <w:t>Aydın Adnan Menderes University Faculty of Medicine, Aydın, Turkey</w:t>
      </w:r>
    </w:p>
    <w:p w14:paraId="7695686E" w14:textId="108710AC" w:rsidR="00B60FF3" w:rsidRPr="00842FE5" w:rsidRDefault="00B60FF3" w:rsidP="005F0087">
      <w:pPr>
        <w:tabs>
          <w:tab w:val="left" w:pos="709"/>
        </w:tabs>
        <w:spacing w:line="480" w:lineRule="auto"/>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vertAlign w:val="superscript"/>
        </w:rPr>
        <w:t>4</w:t>
      </w:r>
      <w:r w:rsidRPr="00842FE5">
        <w:rPr>
          <w:rFonts w:ascii="Times New Roman" w:hAnsi="Times New Roman" w:cs="Times New Roman"/>
          <w:color w:val="0D0D0D" w:themeColor="text1" w:themeTint="F2"/>
          <w:sz w:val="24"/>
          <w:szCs w:val="24"/>
        </w:rPr>
        <w:t>Sanofi, Singapore</w:t>
      </w:r>
    </w:p>
    <w:p w14:paraId="17277E9B" w14:textId="289760E4" w:rsidR="00B60FF3" w:rsidRPr="00842FE5" w:rsidRDefault="00B60FF3" w:rsidP="005F0087">
      <w:pPr>
        <w:tabs>
          <w:tab w:val="left" w:pos="709"/>
        </w:tabs>
        <w:spacing w:line="480" w:lineRule="auto"/>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vertAlign w:val="superscript"/>
        </w:rPr>
        <w:t>5</w:t>
      </w:r>
      <w:r w:rsidRPr="00842FE5">
        <w:rPr>
          <w:rFonts w:ascii="Times New Roman" w:hAnsi="Times New Roman" w:cs="Times New Roman"/>
          <w:color w:val="0D0D0D" w:themeColor="text1" w:themeTint="F2"/>
          <w:sz w:val="24"/>
          <w:szCs w:val="24"/>
        </w:rPr>
        <w:t>IT&amp;M Stats for Sanofi, Paris, France</w:t>
      </w:r>
    </w:p>
    <w:p w14:paraId="325203EA" w14:textId="224CD089" w:rsidR="00B60FF3" w:rsidRPr="00842FE5" w:rsidRDefault="00B60FF3" w:rsidP="005F0087">
      <w:pPr>
        <w:tabs>
          <w:tab w:val="left" w:pos="709"/>
        </w:tabs>
        <w:spacing w:line="480" w:lineRule="auto"/>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vertAlign w:val="superscript"/>
        </w:rPr>
        <w:t>6</w:t>
      </w:r>
      <w:r w:rsidRPr="00842FE5">
        <w:rPr>
          <w:rFonts w:ascii="Times New Roman" w:hAnsi="Times New Roman" w:cs="Times New Roman"/>
          <w:color w:val="0D0D0D" w:themeColor="text1" w:themeTint="F2"/>
          <w:sz w:val="24"/>
          <w:szCs w:val="24"/>
        </w:rPr>
        <w:t>Sanofi, Paris, France</w:t>
      </w:r>
    </w:p>
    <w:p w14:paraId="77E8DB0D" w14:textId="392FABC9" w:rsidR="00B60FF3" w:rsidRPr="00842FE5" w:rsidRDefault="00B60FF3" w:rsidP="005F0087">
      <w:pPr>
        <w:tabs>
          <w:tab w:val="left" w:pos="709"/>
        </w:tabs>
        <w:spacing w:line="480" w:lineRule="auto"/>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vertAlign w:val="superscript"/>
        </w:rPr>
        <w:t>7</w:t>
      </w:r>
      <w:r w:rsidRPr="00842FE5">
        <w:rPr>
          <w:rFonts w:ascii="Times New Roman" w:hAnsi="Times New Roman" w:cs="Times New Roman"/>
          <w:color w:val="0D0D0D" w:themeColor="text1" w:themeTint="F2"/>
          <w:sz w:val="24"/>
          <w:szCs w:val="24"/>
        </w:rPr>
        <w:t>University Malaya Medical Centre</w:t>
      </w:r>
      <w:r w:rsidR="00222AC0" w:rsidRPr="00842FE5">
        <w:rPr>
          <w:rFonts w:ascii="Times New Roman" w:hAnsi="Times New Roman" w:cs="Times New Roman"/>
          <w:color w:val="0D0D0D" w:themeColor="text1" w:themeTint="F2"/>
          <w:sz w:val="24"/>
          <w:szCs w:val="24"/>
        </w:rPr>
        <w:t>, Kuala Lumpur, Malaysia</w:t>
      </w:r>
    </w:p>
    <w:p w14:paraId="28CA82F4" w14:textId="3788C757" w:rsidR="00B60FF3" w:rsidRPr="00842FE5" w:rsidRDefault="00B60FF3" w:rsidP="005F0087">
      <w:pPr>
        <w:tabs>
          <w:tab w:val="left" w:pos="709"/>
        </w:tabs>
        <w:spacing w:line="480" w:lineRule="auto"/>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vertAlign w:val="superscript"/>
        </w:rPr>
        <w:t>8</w:t>
      </w:r>
      <w:r w:rsidRPr="00842FE5">
        <w:rPr>
          <w:rFonts w:ascii="Times New Roman" w:hAnsi="Times New Roman" w:cs="Times New Roman"/>
          <w:color w:val="0D0D0D" w:themeColor="text1" w:themeTint="F2"/>
          <w:sz w:val="24"/>
          <w:szCs w:val="24"/>
        </w:rPr>
        <w:t xml:space="preserve">Hospital de Clínicas Universidad de Buenos Aires, </w:t>
      </w:r>
      <w:r w:rsidR="00355ACF" w:rsidRPr="00842FE5">
        <w:rPr>
          <w:rFonts w:ascii="Times New Roman" w:hAnsi="Times New Roman" w:cs="Times New Roman"/>
          <w:color w:val="0D0D0D" w:themeColor="text1" w:themeTint="F2"/>
          <w:sz w:val="24"/>
          <w:szCs w:val="24"/>
        </w:rPr>
        <w:t xml:space="preserve">Buenos Aires, </w:t>
      </w:r>
      <w:r w:rsidRPr="00842FE5">
        <w:rPr>
          <w:rFonts w:ascii="Times New Roman" w:hAnsi="Times New Roman" w:cs="Times New Roman"/>
          <w:color w:val="0D0D0D" w:themeColor="text1" w:themeTint="F2"/>
          <w:sz w:val="24"/>
          <w:szCs w:val="24"/>
        </w:rPr>
        <w:t>Argentina</w:t>
      </w:r>
    </w:p>
    <w:p w14:paraId="282AD75F" w14:textId="77777777" w:rsidR="001A6F16" w:rsidRPr="00842FE5" w:rsidRDefault="001A6F16" w:rsidP="001A6F16">
      <w:pPr>
        <w:spacing w:line="480" w:lineRule="auto"/>
        <w:contextualSpacing/>
        <w:rPr>
          <w:rFonts w:ascii="Times New Roman" w:eastAsia="Times New Roman" w:hAnsi="Times New Roman" w:cs="Times New Roman"/>
          <w:bCs/>
          <w:color w:val="0D0D0D" w:themeColor="text1" w:themeTint="F2"/>
          <w:sz w:val="24"/>
          <w:szCs w:val="24"/>
          <w:lang w:eastAsia="en-GB"/>
        </w:rPr>
      </w:pPr>
      <w:r w:rsidRPr="00842FE5">
        <w:rPr>
          <w:rFonts w:ascii="Times New Roman" w:hAnsi="Times New Roman" w:cs="Times New Roman"/>
          <w:b/>
          <w:bCs/>
          <w:color w:val="0D0D0D" w:themeColor="text1" w:themeTint="F2"/>
          <w:sz w:val="24"/>
          <w:szCs w:val="24"/>
          <w:vertAlign w:val="superscript"/>
        </w:rPr>
        <w:t>*</w:t>
      </w:r>
      <w:r w:rsidRPr="00842FE5">
        <w:rPr>
          <w:rFonts w:ascii="Times New Roman" w:hAnsi="Times New Roman" w:cs="Times New Roman"/>
          <w:b/>
          <w:bCs/>
          <w:color w:val="0D0D0D" w:themeColor="text1" w:themeTint="F2"/>
          <w:sz w:val="24"/>
          <w:szCs w:val="24"/>
        </w:rPr>
        <w:t>Corresponding author</w:t>
      </w:r>
      <w:r w:rsidRPr="00842FE5">
        <w:rPr>
          <w:rFonts w:ascii="Times New Roman" w:hAnsi="Times New Roman" w:cs="Times New Roman"/>
          <w:bCs/>
          <w:color w:val="0D0D0D" w:themeColor="text1" w:themeTint="F2"/>
          <w:sz w:val="24"/>
          <w:szCs w:val="24"/>
        </w:rPr>
        <w:t xml:space="preserve">: </w:t>
      </w:r>
      <w:r w:rsidRPr="00842FE5">
        <w:rPr>
          <w:rFonts w:ascii="Times New Roman" w:eastAsia="Times New Roman" w:hAnsi="Times New Roman" w:cs="Times New Roman"/>
          <w:bCs/>
          <w:color w:val="0D0D0D" w:themeColor="text1" w:themeTint="F2"/>
          <w:sz w:val="24"/>
          <w:szCs w:val="24"/>
          <w:lang w:eastAsia="en-GB"/>
        </w:rPr>
        <w:t>Dr. Bipin Sethi</w:t>
      </w:r>
    </w:p>
    <w:p w14:paraId="0E951D0C" w14:textId="17B8DF53" w:rsidR="001A6F16" w:rsidRPr="00842FE5" w:rsidRDefault="001A6F16" w:rsidP="001A6F16">
      <w:pPr>
        <w:spacing w:line="480" w:lineRule="auto"/>
        <w:rPr>
          <w:rFonts w:ascii="Times New Roman" w:eastAsia="Times New Roman" w:hAnsi="Times New Roman" w:cs="Times New Roman"/>
          <w:bCs/>
          <w:color w:val="0D0D0D" w:themeColor="text1" w:themeTint="F2"/>
          <w:sz w:val="24"/>
          <w:szCs w:val="24"/>
          <w:lang w:eastAsia="en-GB"/>
        </w:rPr>
      </w:pPr>
      <w:r w:rsidRPr="00842FE5">
        <w:rPr>
          <w:rFonts w:ascii="Times New Roman" w:hAnsi="Times New Roman" w:cs="Times New Roman"/>
          <w:color w:val="0D0D0D" w:themeColor="text1" w:themeTint="F2"/>
          <w:sz w:val="24"/>
          <w:szCs w:val="24"/>
        </w:rPr>
        <w:t xml:space="preserve">Correspondence address: </w:t>
      </w:r>
      <w:r w:rsidRPr="00842FE5">
        <w:rPr>
          <w:rFonts w:ascii="Times New Roman" w:eastAsia="Times New Roman" w:hAnsi="Times New Roman" w:cs="Times New Roman"/>
          <w:bCs/>
          <w:color w:val="0D0D0D" w:themeColor="text1" w:themeTint="F2"/>
          <w:sz w:val="24"/>
          <w:szCs w:val="24"/>
          <w:lang w:eastAsia="en-GB"/>
        </w:rPr>
        <w:t>Care Hospital, Hyderabad India</w:t>
      </w:r>
      <w:r w:rsidR="004002FC" w:rsidRPr="00842FE5">
        <w:rPr>
          <w:rFonts w:ascii="Times New Roman" w:eastAsia="Times New Roman" w:hAnsi="Times New Roman" w:cs="Times New Roman"/>
          <w:bCs/>
          <w:color w:val="0D0D0D" w:themeColor="text1" w:themeTint="F2"/>
          <w:sz w:val="24"/>
          <w:szCs w:val="24"/>
          <w:lang w:eastAsia="en-GB"/>
        </w:rPr>
        <w:t xml:space="preserve"> Pin-</w:t>
      </w:r>
      <w:r w:rsidR="004002FC" w:rsidRPr="00842FE5">
        <w:rPr>
          <w:rFonts w:ascii="Times New Roman" w:hAnsi="Times New Roman" w:cs="Times New Roman"/>
          <w:color w:val="0D0D0D" w:themeColor="text1" w:themeTint="F2"/>
          <w:sz w:val="24"/>
          <w:szCs w:val="24"/>
          <w:shd w:val="clear" w:color="auto" w:fill="FFFFFF"/>
        </w:rPr>
        <w:t xml:space="preserve"> 500034</w:t>
      </w:r>
    </w:p>
    <w:p w14:paraId="09881E6B" w14:textId="77777777" w:rsidR="001A6F16" w:rsidRPr="00842FE5" w:rsidRDefault="001A6F16" w:rsidP="001A6F16">
      <w:pPr>
        <w:spacing w:line="480" w:lineRule="auto"/>
        <w:rPr>
          <w:rFonts w:ascii="Times New Roman" w:eastAsia="Times New Roman" w:hAnsi="Times New Roman" w:cs="Times New Roman"/>
          <w:bCs/>
          <w:color w:val="0D0D0D" w:themeColor="text1" w:themeTint="F2"/>
          <w:sz w:val="24"/>
          <w:szCs w:val="24"/>
          <w:lang w:val="fr-FR" w:eastAsia="en-GB"/>
        </w:rPr>
      </w:pPr>
      <w:r w:rsidRPr="00842FE5">
        <w:rPr>
          <w:rFonts w:ascii="Times New Roman" w:eastAsia="Times New Roman" w:hAnsi="Times New Roman" w:cs="Times New Roman"/>
          <w:bCs/>
          <w:color w:val="0D0D0D" w:themeColor="text1" w:themeTint="F2"/>
          <w:sz w:val="24"/>
          <w:szCs w:val="24"/>
          <w:lang w:val="fr-FR" w:eastAsia="en-GB"/>
        </w:rPr>
        <w:t xml:space="preserve">Email: </w:t>
      </w:r>
      <w:hyperlink r:id="rId8" w:history="1">
        <w:r w:rsidRPr="00842FE5">
          <w:rPr>
            <w:rStyle w:val="Hyperlink"/>
            <w:rFonts w:ascii="Times New Roman" w:eastAsia="Times New Roman" w:hAnsi="Times New Roman" w:cs="Times New Roman"/>
            <w:bCs/>
            <w:color w:val="0D0D0D" w:themeColor="text1" w:themeTint="F2"/>
            <w:sz w:val="24"/>
            <w:szCs w:val="24"/>
            <w:lang w:val="fr-FR" w:eastAsia="en-GB"/>
          </w:rPr>
          <w:t>sethibipin54@gmail.com</w:t>
        </w:r>
      </w:hyperlink>
      <w:r w:rsidRPr="00842FE5">
        <w:rPr>
          <w:rFonts w:ascii="Times New Roman" w:eastAsia="Times New Roman" w:hAnsi="Times New Roman" w:cs="Times New Roman"/>
          <w:bCs/>
          <w:color w:val="0D0D0D" w:themeColor="text1" w:themeTint="F2"/>
          <w:sz w:val="24"/>
          <w:szCs w:val="24"/>
          <w:lang w:val="fr-FR" w:eastAsia="en-GB"/>
        </w:rPr>
        <w:t xml:space="preserve"> </w:t>
      </w:r>
    </w:p>
    <w:p w14:paraId="1E59AE0B" w14:textId="13853FD5" w:rsidR="009419D7" w:rsidRPr="00842FE5" w:rsidRDefault="009419D7" w:rsidP="009419D7">
      <w:pPr>
        <w:spacing w:after="120" w:line="240" w:lineRule="auto"/>
        <w:contextualSpacing/>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ab/>
      </w:r>
    </w:p>
    <w:p w14:paraId="09187427" w14:textId="77777777" w:rsidR="00E06140" w:rsidRPr="00842FE5" w:rsidRDefault="00E06140">
      <w:pPr>
        <w:rPr>
          <w:rFonts w:ascii="Times New Roman" w:hAnsi="Times New Roman" w:cs="Times New Roman"/>
          <w:b/>
          <w:bCs/>
          <w:color w:val="0D0D0D" w:themeColor="text1" w:themeTint="F2"/>
          <w:sz w:val="24"/>
          <w:szCs w:val="24"/>
        </w:rPr>
      </w:pPr>
      <w:r w:rsidRPr="00842FE5">
        <w:rPr>
          <w:rFonts w:ascii="Times New Roman" w:hAnsi="Times New Roman" w:cs="Times New Roman"/>
          <w:b/>
          <w:bCs/>
          <w:color w:val="0D0D0D" w:themeColor="text1" w:themeTint="F2"/>
          <w:sz w:val="24"/>
          <w:szCs w:val="24"/>
        </w:rPr>
        <w:br w:type="page"/>
      </w:r>
    </w:p>
    <w:p w14:paraId="4F643DB8" w14:textId="3EF55D35" w:rsidR="005F3CA3" w:rsidRPr="00842FE5" w:rsidRDefault="00DB76DE" w:rsidP="003858C4">
      <w:pPr>
        <w:spacing w:line="480" w:lineRule="auto"/>
        <w:rPr>
          <w:rFonts w:ascii="Times New Roman" w:hAnsi="Times New Roman" w:cs="Times New Roman"/>
          <w:b/>
          <w:bCs/>
          <w:color w:val="0D0D0D" w:themeColor="text1" w:themeTint="F2"/>
          <w:sz w:val="24"/>
          <w:szCs w:val="24"/>
        </w:rPr>
      </w:pPr>
      <w:r w:rsidRPr="00842FE5">
        <w:rPr>
          <w:rFonts w:ascii="Times New Roman" w:hAnsi="Times New Roman" w:cs="Times New Roman"/>
          <w:b/>
          <w:bCs/>
          <w:color w:val="0D0D0D" w:themeColor="text1" w:themeTint="F2"/>
          <w:sz w:val="24"/>
          <w:szCs w:val="24"/>
        </w:rPr>
        <w:lastRenderedPageBreak/>
        <w:t>Abstract</w:t>
      </w:r>
      <w:r w:rsidR="001B41AD" w:rsidRPr="00842FE5">
        <w:rPr>
          <w:rFonts w:ascii="Times New Roman" w:hAnsi="Times New Roman" w:cs="Times New Roman"/>
          <w:b/>
          <w:bCs/>
          <w:color w:val="0D0D0D" w:themeColor="text1" w:themeTint="F2"/>
          <w:sz w:val="24"/>
          <w:szCs w:val="24"/>
        </w:rPr>
        <w:t xml:space="preserve"> </w:t>
      </w:r>
    </w:p>
    <w:p w14:paraId="1B95A167" w14:textId="10092834" w:rsidR="00DB76DE" w:rsidRPr="00842FE5" w:rsidRDefault="00A34146" w:rsidP="003858C4">
      <w:pPr>
        <w:spacing w:line="480" w:lineRule="auto"/>
        <w:rPr>
          <w:rFonts w:ascii="Times New Roman" w:hAnsi="Times New Roman" w:cs="Times New Roman"/>
          <w:b/>
          <w:bCs/>
          <w:color w:val="0D0D0D" w:themeColor="text1" w:themeTint="F2"/>
          <w:sz w:val="24"/>
          <w:szCs w:val="24"/>
        </w:rPr>
      </w:pPr>
      <w:r w:rsidRPr="00842FE5">
        <w:rPr>
          <w:rFonts w:ascii="Times New Roman" w:hAnsi="Times New Roman" w:cs="Times New Roman"/>
          <w:b/>
          <w:bCs/>
          <w:color w:val="0D0D0D" w:themeColor="text1" w:themeTint="F2"/>
          <w:sz w:val="24"/>
          <w:szCs w:val="24"/>
        </w:rPr>
        <w:t>Introduction:</w:t>
      </w:r>
      <w:r w:rsidR="000470E3" w:rsidRPr="00842FE5">
        <w:rPr>
          <w:rFonts w:ascii="Times New Roman" w:hAnsi="Times New Roman" w:cs="Times New Roman"/>
          <w:b/>
          <w:bCs/>
          <w:color w:val="0D0D0D" w:themeColor="text1" w:themeTint="F2"/>
          <w:sz w:val="24"/>
          <w:szCs w:val="24"/>
        </w:rPr>
        <w:t xml:space="preserve"> </w:t>
      </w:r>
      <w:r w:rsidR="00C56128" w:rsidRPr="00842FE5">
        <w:rPr>
          <w:rFonts w:ascii="Times New Roman" w:hAnsi="Times New Roman" w:cs="Times New Roman"/>
          <w:color w:val="0D0D0D" w:themeColor="text1" w:themeTint="F2"/>
          <w:sz w:val="24"/>
          <w:szCs w:val="24"/>
        </w:rPr>
        <w:t xml:space="preserve">The efficacy and safety of switching to </w:t>
      </w:r>
      <w:r w:rsidR="00222AC0" w:rsidRPr="00842FE5">
        <w:rPr>
          <w:rFonts w:ascii="Times New Roman" w:hAnsi="Times New Roman" w:cs="Times New Roman"/>
          <w:color w:val="0D0D0D" w:themeColor="text1" w:themeTint="F2"/>
          <w:sz w:val="24"/>
          <w:szCs w:val="24"/>
        </w:rPr>
        <w:t>insulin glargine</w:t>
      </w:r>
      <w:r w:rsidR="002B7057" w:rsidRPr="00842FE5">
        <w:rPr>
          <w:rFonts w:ascii="Times New Roman" w:hAnsi="Times New Roman" w:cs="Times New Roman"/>
          <w:color w:val="0D0D0D" w:themeColor="text1" w:themeTint="F2"/>
          <w:sz w:val="24"/>
          <w:szCs w:val="24"/>
        </w:rPr>
        <w:t xml:space="preserve"> 300 U/mL</w:t>
      </w:r>
      <w:r w:rsidR="00222AC0" w:rsidRPr="00842FE5">
        <w:rPr>
          <w:rFonts w:ascii="Times New Roman" w:hAnsi="Times New Roman" w:cs="Times New Roman"/>
          <w:color w:val="0D0D0D" w:themeColor="text1" w:themeTint="F2"/>
          <w:sz w:val="24"/>
          <w:szCs w:val="24"/>
        </w:rPr>
        <w:t xml:space="preserve"> (</w:t>
      </w:r>
      <w:r w:rsidR="00C56128" w:rsidRPr="00842FE5">
        <w:rPr>
          <w:rFonts w:ascii="Times New Roman" w:hAnsi="Times New Roman" w:cs="Times New Roman"/>
          <w:color w:val="0D0D0D" w:themeColor="text1" w:themeTint="F2"/>
          <w:sz w:val="24"/>
          <w:szCs w:val="24"/>
        </w:rPr>
        <w:t>Gla-300</w:t>
      </w:r>
      <w:r w:rsidR="00222AC0" w:rsidRPr="00842FE5">
        <w:rPr>
          <w:rFonts w:ascii="Times New Roman" w:hAnsi="Times New Roman" w:cs="Times New Roman"/>
          <w:color w:val="0D0D0D" w:themeColor="text1" w:themeTint="F2"/>
          <w:sz w:val="24"/>
          <w:szCs w:val="24"/>
        </w:rPr>
        <w:t>)</w:t>
      </w:r>
      <w:r w:rsidR="00C56128" w:rsidRPr="00842FE5">
        <w:rPr>
          <w:rFonts w:ascii="Times New Roman" w:hAnsi="Times New Roman" w:cs="Times New Roman"/>
          <w:color w:val="0D0D0D" w:themeColor="text1" w:themeTint="F2"/>
          <w:sz w:val="24"/>
          <w:szCs w:val="24"/>
        </w:rPr>
        <w:t xml:space="preserve"> in</w:t>
      </w:r>
      <w:r w:rsidR="009B097E" w:rsidRPr="00842FE5">
        <w:rPr>
          <w:rFonts w:ascii="Times New Roman" w:hAnsi="Times New Roman" w:cs="Times New Roman"/>
          <w:color w:val="0D0D0D" w:themeColor="text1" w:themeTint="F2"/>
          <w:sz w:val="24"/>
          <w:szCs w:val="24"/>
        </w:rPr>
        <w:t xml:space="preserve"> type 2 diabetes mellitus</w:t>
      </w:r>
      <w:r w:rsidR="00C56128" w:rsidRPr="00842FE5">
        <w:rPr>
          <w:rFonts w:ascii="Times New Roman" w:hAnsi="Times New Roman" w:cs="Times New Roman"/>
          <w:color w:val="0D0D0D" w:themeColor="text1" w:themeTint="F2"/>
          <w:sz w:val="24"/>
          <w:szCs w:val="24"/>
        </w:rPr>
        <w:t xml:space="preserve"> </w:t>
      </w:r>
      <w:r w:rsidR="009B097E" w:rsidRPr="00842FE5">
        <w:rPr>
          <w:rFonts w:ascii="Times New Roman" w:hAnsi="Times New Roman" w:cs="Times New Roman"/>
          <w:color w:val="0D0D0D" w:themeColor="text1" w:themeTint="F2"/>
          <w:sz w:val="24"/>
          <w:szCs w:val="24"/>
        </w:rPr>
        <w:t>(</w:t>
      </w:r>
      <w:r w:rsidR="00C56128" w:rsidRPr="00842FE5">
        <w:rPr>
          <w:rFonts w:ascii="Times New Roman" w:hAnsi="Times New Roman" w:cs="Times New Roman"/>
          <w:color w:val="0D0D0D" w:themeColor="text1" w:themeTint="F2"/>
          <w:sz w:val="24"/>
          <w:szCs w:val="24"/>
        </w:rPr>
        <w:t>T2D</w:t>
      </w:r>
      <w:r w:rsidR="00F238D3" w:rsidRPr="00842FE5">
        <w:rPr>
          <w:rFonts w:ascii="Times New Roman" w:hAnsi="Times New Roman" w:cs="Times New Roman"/>
          <w:color w:val="0D0D0D" w:themeColor="text1" w:themeTint="F2"/>
          <w:sz w:val="24"/>
          <w:szCs w:val="24"/>
        </w:rPr>
        <w:t>M</w:t>
      </w:r>
      <w:r w:rsidR="009B097E" w:rsidRPr="00842FE5">
        <w:rPr>
          <w:rFonts w:ascii="Times New Roman" w:hAnsi="Times New Roman" w:cs="Times New Roman"/>
          <w:color w:val="0D0D0D" w:themeColor="text1" w:themeTint="F2"/>
          <w:sz w:val="24"/>
          <w:szCs w:val="24"/>
        </w:rPr>
        <w:t>)</w:t>
      </w:r>
      <w:r w:rsidR="00C56128" w:rsidRPr="00842FE5">
        <w:rPr>
          <w:rFonts w:ascii="Times New Roman" w:hAnsi="Times New Roman" w:cs="Times New Roman"/>
          <w:color w:val="0D0D0D" w:themeColor="text1" w:themeTint="F2"/>
          <w:sz w:val="24"/>
          <w:szCs w:val="24"/>
        </w:rPr>
        <w:t xml:space="preserve"> uncontrolled on </w:t>
      </w:r>
      <w:r w:rsidR="00222AC0" w:rsidRPr="00842FE5">
        <w:rPr>
          <w:rFonts w:ascii="Times New Roman" w:hAnsi="Times New Roman" w:cs="Times New Roman"/>
          <w:color w:val="0D0D0D" w:themeColor="text1" w:themeTint="F2"/>
          <w:sz w:val="24"/>
          <w:szCs w:val="24"/>
        </w:rPr>
        <w:t>basal insulin (</w:t>
      </w:r>
      <w:r w:rsidR="00C56128" w:rsidRPr="00842FE5">
        <w:rPr>
          <w:rFonts w:ascii="Times New Roman" w:hAnsi="Times New Roman" w:cs="Times New Roman"/>
          <w:color w:val="0D0D0D" w:themeColor="text1" w:themeTint="F2"/>
          <w:sz w:val="24"/>
          <w:szCs w:val="24"/>
        </w:rPr>
        <w:t>BI</w:t>
      </w:r>
      <w:r w:rsidR="00222AC0" w:rsidRPr="00842FE5">
        <w:rPr>
          <w:rFonts w:ascii="Times New Roman" w:hAnsi="Times New Roman" w:cs="Times New Roman"/>
          <w:color w:val="0D0D0D" w:themeColor="text1" w:themeTint="F2"/>
          <w:sz w:val="24"/>
          <w:szCs w:val="24"/>
        </w:rPr>
        <w:t>)</w:t>
      </w:r>
      <w:r w:rsidR="00C56128" w:rsidRPr="00842FE5">
        <w:rPr>
          <w:rFonts w:ascii="Times New Roman" w:hAnsi="Times New Roman" w:cs="Times New Roman"/>
          <w:color w:val="0D0D0D" w:themeColor="text1" w:themeTint="F2"/>
          <w:sz w:val="24"/>
          <w:szCs w:val="24"/>
        </w:rPr>
        <w:t xml:space="preserve"> has been </w:t>
      </w:r>
      <w:r w:rsidR="00E24B75" w:rsidRPr="00842FE5">
        <w:rPr>
          <w:rFonts w:ascii="Times New Roman" w:hAnsi="Times New Roman" w:cs="Times New Roman"/>
          <w:color w:val="0D0D0D" w:themeColor="text1" w:themeTint="F2"/>
          <w:sz w:val="24"/>
          <w:szCs w:val="24"/>
        </w:rPr>
        <w:t xml:space="preserve">demonstrated </w:t>
      </w:r>
      <w:r w:rsidR="00C56128" w:rsidRPr="00842FE5">
        <w:rPr>
          <w:rFonts w:ascii="Times New Roman" w:hAnsi="Times New Roman" w:cs="Times New Roman"/>
          <w:color w:val="0D0D0D" w:themeColor="text1" w:themeTint="F2"/>
          <w:sz w:val="24"/>
          <w:szCs w:val="24"/>
        </w:rPr>
        <w:t xml:space="preserve">in the </w:t>
      </w:r>
      <w:r w:rsidR="00E24B75" w:rsidRPr="00842FE5">
        <w:rPr>
          <w:rFonts w:ascii="Times New Roman" w:hAnsi="Times New Roman" w:cs="Times New Roman"/>
          <w:color w:val="0D0D0D" w:themeColor="text1" w:themeTint="F2"/>
          <w:sz w:val="24"/>
          <w:szCs w:val="24"/>
        </w:rPr>
        <w:t xml:space="preserve">North American </w:t>
      </w:r>
      <w:r w:rsidR="00C56128" w:rsidRPr="00842FE5">
        <w:rPr>
          <w:rFonts w:ascii="Times New Roman" w:hAnsi="Times New Roman" w:cs="Times New Roman"/>
          <w:color w:val="0D0D0D" w:themeColor="text1" w:themeTint="F2"/>
          <w:sz w:val="24"/>
          <w:szCs w:val="24"/>
        </w:rPr>
        <w:t xml:space="preserve">and </w:t>
      </w:r>
      <w:r w:rsidR="00E24B75" w:rsidRPr="00842FE5">
        <w:rPr>
          <w:rFonts w:ascii="Times New Roman" w:hAnsi="Times New Roman" w:cs="Times New Roman"/>
          <w:color w:val="0D0D0D" w:themeColor="text1" w:themeTint="F2"/>
          <w:sz w:val="24"/>
          <w:szCs w:val="24"/>
        </w:rPr>
        <w:t>Western European population</w:t>
      </w:r>
      <w:r w:rsidR="009820BA" w:rsidRPr="00842FE5">
        <w:rPr>
          <w:rFonts w:ascii="Times New Roman" w:hAnsi="Times New Roman" w:cs="Times New Roman"/>
          <w:color w:val="0D0D0D" w:themeColor="text1" w:themeTint="F2"/>
          <w:sz w:val="24"/>
          <w:szCs w:val="24"/>
        </w:rPr>
        <w:t>s</w:t>
      </w:r>
      <w:r w:rsidR="00222AC0" w:rsidRPr="00842FE5">
        <w:rPr>
          <w:rFonts w:ascii="Times New Roman" w:hAnsi="Times New Roman" w:cs="Times New Roman"/>
          <w:color w:val="0D0D0D" w:themeColor="text1" w:themeTint="F2"/>
          <w:sz w:val="24"/>
          <w:szCs w:val="24"/>
        </w:rPr>
        <w:t>;</w:t>
      </w:r>
      <w:r w:rsidR="00C56128" w:rsidRPr="00842FE5">
        <w:rPr>
          <w:rFonts w:ascii="Times New Roman" w:hAnsi="Times New Roman" w:cs="Times New Roman"/>
          <w:color w:val="0D0D0D" w:themeColor="text1" w:themeTint="F2"/>
          <w:sz w:val="24"/>
          <w:szCs w:val="24"/>
        </w:rPr>
        <w:t xml:space="preserve"> </w:t>
      </w:r>
      <w:r w:rsidR="0012568F" w:rsidRPr="00842FE5">
        <w:rPr>
          <w:rFonts w:ascii="Times New Roman" w:hAnsi="Times New Roman" w:cs="Times New Roman"/>
          <w:color w:val="0D0D0D" w:themeColor="text1" w:themeTint="F2"/>
          <w:sz w:val="24"/>
          <w:szCs w:val="24"/>
        </w:rPr>
        <w:t>h</w:t>
      </w:r>
      <w:r w:rsidR="00C56128" w:rsidRPr="00842FE5">
        <w:rPr>
          <w:rFonts w:ascii="Times New Roman" w:hAnsi="Times New Roman" w:cs="Times New Roman"/>
          <w:color w:val="0D0D0D" w:themeColor="text1" w:themeTint="F2"/>
          <w:sz w:val="24"/>
          <w:szCs w:val="24"/>
        </w:rPr>
        <w:t xml:space="preserve">owever, </w:t>
      </w:r>
      <w:r w:rsidR="00512A26" w:rsidRPr="00842FE5">
        <w:rPr>
          <w:rFonts w:ascii="Times New Roman" w:hAnsi="Times New Roman" w:cs="Times New Roman"/>
          <w:color w:val="0D0D0D" w:themeColor="text1" w:themeTint="F2"/>
          <w:sz w:val="24"/>
          <w:szCs w:val="24"/>
        </w:rPr>
        <w:t xml:space="preserve">there is limited data </w:t>
      </w:r>
      <w:r w:rsidR="00512A26" w:rsidRPr="00842FE5">
        <w:rPr>
          <w:rFonts w:ascii="Times New Roman" w:hAnsi="Times New Roman" w:cs="Times New Roman"/>
          <w:color w:val="0D0D0D" w:themeColor="text1" w:themeTint="F2"/>
          <w:sz w:val="24"/>
          <w:szCs w:val="24"/>
          <w:lang w:val="en-US"/>
        </w:rPr>
        <w:t xml:space="preserve">from </w:t>
      </w:r>
      <w:r w:rsidR="00222AC0" w:rsidRPr="00842FE5">
        <w:rPr>
          <w:rFonts w:ascii="Times New Roman" w:hAnsi="Times New Roman" w:cs="Times New Roman"/>
          <w:color w:val="0D0D0D" w:themeColor="text1" w:themeTint="F2"/>
          <w:sz w:val="24"/>
          <w:szCs w:val="24"/>
          <w:lang w:val="en-US"/>
        </w:rPr>
        <w:t xml:space="preserve">other geographical </w:t>
      </w:r>
      <w:r w:rsidR="00512A26" w:rsidRPr="00842FE5">
        <w:rPr>
          <w:rFonts w:ascii="Times New Roman" w:hAnsi="Times New Roman" w:cs="Times New Roman"/>
          <w:color w:val="0D0D0D" w:themeColor="text1" w:themeTint="F2"/>
          <w:sz w:val="24"/>
          <w:szCs w:val="24"/>
          <w:lang w:val="en-US"/>
        </w:rPr>
        <w:t>regions</w:t>
      </w:r>
      <w:r w:rsidR="00EE39B2" w:rsidRPr="00842FE5">
        <w:rPr>
          <w:rFonts w:ascii="Times New Roman" w:hAnsi="Times New Roman" w:cs="Times New Roman"/>
          <w:color w:val="0D0D0D" w:themeColor="text1" w:themeTint="F2"/>
          <w:sz w:val="24"/>
          <w:szCs w:val="24"/>
          <w:lang w:val="en-US"/>
        </w:rPr>
        <w:t xml:space="preserve"> with different ethnicities</w:t>
      </w:r>
      <w:r w:rsidR="004B5CF9" w:rsidRPr="00842FE5">
        <w:rPr>
          <w:rFonts w:ascii="Times New Roman" w:hAnsi="Times New Roman" w:cs="Times New Roman"/>
          <w:color w:val="0D0D0D" w:themeColor="text1" w:themeTint="F2"/>
          <w:sz w:val="24"/>
          <w:szCs w:val="24"/>
          <w:lang w:val="en-US"/>
        </w:rPr>
        <w:t>.</w:t>
      </w:r>
      <w:r w:rsidR="00512A26" w:rsidRPr="00842FE5">
        <w:rPr>
          <w:rFonts w:ascii="Times New Roman" w:hAnsi="Times New Roman" w:cs="Times New Roman"/>
          <w:color w:val="0D0D0D" w:themeColor="text1" w:themeTint="F2"/>
          <w:sz w:val="24"/>
          <w:szCs w:val="24"/>
          <w:lang w:val="en-US"/>
        </w:rPr>
        <w:t xml:space="preserve"> </w:t>
      </w:r>
      <w:r w:rsidR="002A1D1A" w:rsidRPr="00842FE5">
        <w:rPr>
          <w:rFonts w:ascii="Times New Roman" w:hAnsi="Times New Roman" w:cs="Times New Roman"/>
          <w:color w:val="0D0D0D" w:themeColor="text1" w:themeTint="F2"/>
          <w:sz w:val="24"/>
          <w:szCs w:val="24"/>
          <w:lang w:val="en-US"/>
        </w:rPr>
        <w:t xml:space="preserve">The </w:t>
      </w:r>
      <w:r w:rsidR="00C56128" w:rsidRPr="00842FE5">
        <w:rPr>
          <w:rFonts w:ascii="Times New Roman" w:hAnsi="Times New Roman" w:cs="Times New Roman"/>
          <w:color w:val="0D0D0D" w:themeColor="text1" w:themeTint="F2"/>
          <w:sz w:val="24"/>
          <w:szCs w:val="24"/>
        </w:rPr>
        <w:t xml:space="preserve">ARTEMIS-DM </w:t>
      </w:r>
      <w:r w:rsidR="00512A26" w:rsidRPr="00842FE5">
        <w:rPr>
          <w:rFonts w:ascii="Times New Roman" w:hAnsi="Times New Roman" w:cs="Times New Roman"/>
          <w:color w:val="0D0D0D" w:themeColor="text1" w:themeTint="F2"/>
          <w:sz w:val="24"/>
          <w:szCs w:val="24"/>
        </w:rPr>
        <w:t xml:space="preserve">study aimed to </w:t>
      </w:r>
      <w:r w:rsidR="0098589C" w:rsidRPr="00842FE5">
        <w:rPr>
          <w:rFonts w:ascii="Times New Roman" w:hAnsi="Times New Roman" w:cs="Times New Roman"/>
          <w:color w:val="0D0D0D" w:themeColor="text1" w:themeTint="F2"/>
          <w:sz w:val="24"/>
          <w:szCs w:val="24"/>
        </w:rPr>
        <w:t>evaluate</w:t>
      </w:r>
      <w:r w:rsidR="001A7E63" w:rsidRPr="00842FE5">
        <w:rPr>
          <w:rFonts w:ascii="Times New Roman" w:hAnsi="Times New Roman" w:cs="Times New Roman"/>
          <w:color w:val="0D0D0D" w:themeColor="text1" w:themeTint="F2"/>
          <w:sz w:val="24"/>
          <w:szCs w:val="24"/>
        </w:rPr>
        <w:t xml:space="preserve"> </w:t>
      </w:r>
      <w:r w:rsidR="00AD2524" w:rsidRPr="00842FE5">
        <w:rPr>
          <w:rFonts w:ascii="Times New Roman" w:hAnsi="Times New Roman" w:cs="Times New Roman"/>
          <w:color w:val="0D0D0D" w:themeColor="text1" w:themeTint="F2"/>
          <w:sz w:val="24"/>
          <w:szCs w:val="24"/>
        </w:rPr>
        <w:t xml:space="preserve">the </w:t>
      </w:r>
      <w:r w:rsidR="00512A26" w:rsidRPr="00842FE5">
        <w:rPr>
          <w:rFonts w:ascii="Times New Roman" w:hAnsi="Times New Roman" w:cs="Times New Roman"/>
          <w:color w:val="0D0D0D" w:themeColor="text1" w:themeTint="F2"/>
          <w:sz w:val="24"/>
          <w:szCs w:val="24"/>
        </w:rPr>
        <w:t xml:space="preserve">efficacy and safety </w:t>
      </w:r>
      <w:r w:rsidR="009E3DDB" w:rsidRPr="00842FE5">
        <w:rPr>
          <w:rFonts w:ascii="Times New Roman" w:hAnsi="Times New Roman" w:cs="Times New Roman"/>
          <w:color w:val="0D0D0D" w:themeColor="text1" w:themeTint="F2"/>
          <w:sz w:val="24"/>
          <w:szCs w:val="24"/>
        </w:rPr>
        <w:t xml:space="preserve">of Gla-300 </w:t>
      </w:r>
      <w:r w:rsidR="00512A26" w:rsidRPr="00842FE5">
        <w:rPr>
          <w:rFonts w:ascii="Times New Roman" w:hAnsi="Times New Roman" w:cs="Times New Roman"/>
          <w:color w:val="0D0D0D" w:themeColor="text1" w:themeTint="F2"/>
          <w:sz w:val="24"/>
          <w:szCs w:val="24"/>
        </w:rPr>
        <w:t xml:space="preserve">in </w:t>
      </w:r>
      <w:r w:rsidR="004B6AEC" w:rsidRPr="00842FE5">
        <w:rPr>
          <w:rFonts w:ascii="Times New Roman" w:hAnsi="Times New Roman" w:cs="Times New Roman"/>
          <w:color w:val="0D0D0D" w:themeColor="text1" w:themeTint="F2"/>
          <w:sz w:val="24"/>
          <w:szCs w:val="24"/>
        </w:rPr>
        <w:t xml:space="preserve">people </w:t>
      </w:r>
      <w:r w:rsidR="00512A26" w:rsidRPr="00842FE5">
        <w:rPr>
          <w:rFonts w:ascii="Times New Roman" w:hAnsi="Times New Roman" w:cs="Times New Roman"/>
          <w:color w:val="0D0D0D" w:themeColor="text1" w:themeTint="F2"/>
          <w:sz w:val="24"/>
          <w:szCs w:val="24"/>
        </w:rPr>
        <w:t>with T2D</w:t>
      </w:r>
      <w:r w:rsidR="00F238D3" w:rsidRPr="00842FE5">
        <w:rPr>
          <w:rFonts w:ascii="Times New Roman" w:hAnsi="Times New Roman" w:cs="Times New Roman"/>
          <w:color w:val="0D0D0D" w:themeColor="text1" w:themeTint="F2"/>
          <w:sz w:val="24"/>
          <w:szCs w:val="24"/>
        </w:rPr>
        <w:t>M</w:t>
      </w:r>
      <w:r w:rsidR="00512A26" w:rsidRPr="00842FE5">
        <w:rPr>
          <w:rFonts w:ascii="Times New Roman" w:hAnsi="Times New Roman" w:cs="Times New Roman"/>
          <w:color w:val="0D0D0D" w:themeColor="text1" w:themeTint="F2"/>
          <w:sz w:val="24"/>
          <w:szCs w:val="24"/>
        </w:rPr>
        <w:t xml:space="preserve"> uncontrolled on </w:t>
      </w:r>
      <w:r w:rsidR="001B18C3" w:rsidRPr="00842FE5">
        <w:rPr>
          <w:rFonts w:ascii="Times New Roman" w:hAnsi="Times New Roman" w:cs="Times New Roman"/>
          <w:color w:val="0D0D0D" w:themeColor="text1" w:themeTint="F2"/>
          <w:sz w:val="24"/>
          <w:szCs w:val="24"/>
        </w:rPr>
        <w:t>BI</w:t>
      </w:r>
      <w:r w:rsidR="00512A26" w:rsidRPr="00842FE5">
        <w:rPr>
          <w:rFonts w:ascii="Times New Roman" w:hAnsi="Times New Roman" w:cs="Times New Roman"/>
          <w:color w:val="0D0D0D" w:themeColor="text1" w:themeTint="F2"/>
          <w:sz w:val="24"/>
          <w:szCs w:val="24"/>
        </w:rPr>
        <w:t xml:space="preserve"> </w:t>
      </w:r>
      <w:r w:rsidR="00AD2524" w:rsidRPr="00842FE5">
        <w:rPr>
          <w:rFonts w:ascii="Times New Roman" w:hAnsi="Times New Roman" w:cs="Times New Roman"/>
          <w:color w:val="0D0D0D" w:themeColor="text1" w:themeTint="F2"/>
          <w:sz w:val="24"/>
          <w:szCs w:val="24"/>
        </w:rPr>
        <w:t>from</w:t>
      </w:r>
      <w:r w:rsidR="00512A26" w:rsidRPr="00842FE5">
        <w:rPr>
          <w:rFonts w:ascii="Times New Roman" w:hAnsi="Times New Roman" w:cs="Times New Roman"/>
          <w:color w:val="0D0D0D" w:themeColor="text1" w:themeTint="F2"/>
          <w:sz w:val="24"/>
          <w:szCs w:val="24"/>
        </w:rPr>
        <w:t xml:space="preserve"> </w:t>
      </w:r>
      <w:r w:rsidRPr="00842FE5">
        <w:rPr>
          <w:rFonts w:ascii="Times New Roman" w:hAnsi="Times New Roman" w:cs="Times New Roman"/>
          <w:color w:val="0D0D0D" w:themeColor="text1" w:themeTint="F2"/>
          <w:sz w:val="24"/>
          <w:szCs w:val="24"/>
        </w:rPr>
        <w:t>Asia, Latin America and Middle-East Africa</w:t>
      </w:r>
      <w:r w:rsidR="00C56128" w:rsidRPr="00842FE5">
        <w:rPr>
          <w:rFonts w:ascii="Times New Roman" w:hAnsi="Times New Roman" w:cs="Times New Roman"/>
          <w:color w:val="0D0D0D" w:themeColor="text1" w:themeTint="F2"/>
          <w:sz w:val="24"/>
          <w:szCs w:val="24"/>
        </w:rPr>
        <w:t>.</w:t>
      </w:r>
    </w:p>
    <w:p w14:paraId="6235BA42" w14:textId="7203F1C6" w:rsidR="00C56128" w:rsidRPr="00842FE5" w:rsidRDefault="0058464E" w:rsidP="003858C4">
      <w:pPr>
        <w:spacing w:line="480" w:lineRule="auto"/>
        <w:rPr>
          <w:rFonts w:ascii="Times New Roman" w:hAnsi="Times New Roman" w:cs="Times New Roman"/>
          <w:color w:val="0D0D0D" w:themeColor="text1" w:themeTint="F2"/>
          <w:sz w:val="24"/>
          <w:szCs w:val="24"/>
        </w:rPr>
      </w:pPr>
      <w:r w:rsidRPr="00842FE5">
        <w:rPr>
          <w:rFonts w:ascii="Times New Roman" w:hAnsi="Times New Roman" w:cs="Times New Roman"/>
          <w:b/>
          <w:bCs/>
          <w:color w:val="0D0D0D" w:themeColor="text1" w:themeTint="F2"/>
          <w:sz w:val="24"/>
          <w:szCs w:val="24"/>
        </w:rPr>
        <w:t>Methods</w:t>
      </w:r>
      <w:r w:rsidR="000470E3" w:rsidRPr="00842FE5">
        <w:rPr>
          <w:rFonts w:ascii="Times New Roman" w:hAnsi="Times New Roman" w:cs="Times New Roman"/>
          <w:b/>
          <w:bCs/>
          <w:color w:val="0D0D0D" w:themeColor="text1" w:themeTint="F2"/>
          <w:sz w:val="24"/>
          <w:szCs w:val="24"/>
        </w:rPr>
        <w:t xml:space="preserve">: </w:t>
      </w:r>
      <w:r w:rsidR="00F5661F" w:rsidRPr="00842FE5">
        <w:rPr>
          <w:rFonts w:ascii="Times New Roman" w:hAnsi="Times New Roman" w:cs="Times New Roman"/>
          <w:color w:val="0D0D0D" w:themeColor="text1" w:themeTint="F2"/>
          <w:sz w:val="24"/>
          <w:szCs w:val="24"/>
        </w:rPr>
        <w:t xml:space="preserve">The </w:t>
      </w:r>
      <w:r w:rsidR="00C843BD" w:rsidRPr="00842FE5">
        <w:rPr>
          <w:rFonts w:ascii="Times New Roman" w:hAnsi="Times New Roman" w:cs="Times New Roman"/>
          <w:color w:val="0D0D0D" w:themeColor="text1" w:themeTint="F2"/>
          <w:sz w:val="24"/>
          <w:szCs w:val="24"/>
        </w:rPr>
        <w:t xml:space="preserve">ARTEMIS-DM was a </w:t>
      </w:r>
      <w:r w:rsidR="0029543A" w:rsidRPr="00842FE5">
        <w:rPr>
          <w:rFonts w:ascii="Times New Roman" w:hAnsi="Times New Roman" w:cs="Times New Roman"/>
          <w:color w:val="0D0D0D" w:themeColor="text1" w:themeTint="F2"/>
          <w:sz w:val="24"/>
          <w:szCs w:val="24"/>
        </w:rPr>
        <w:t>26-week</w:t>
      </w:r>
      <w:r w:rsidR="00916608" w:rsidRPr="00842FE5">
        <w:rPr>
          <w:rFonts w:ascii="Times New Roman" w:hAnsi="Times New Roman" w:cs="Times New Roman"/>
          <w:color w:val="0D0D0D" w:themeColor="text1" w:themeTint="F2"/>
          <w:sz w:val="24"/>
          <w:szCs w:val="24"/>
        </w:rPr>
        <w:t>,</w:t>
      </w:r>
      <w:r w:rsidR="0029543A" w:rsidRPr="00842FE5">
        <w:rPr>
          <w:rFonts w:ascii="Times New Roman" w:hAnsi="Times New Roman" w:cs="Times New Roman"/>
          <w:color w:val="0D0D0D" w:themeColor="text1" w:themeTint="F2"/>
          <w:sz w:val="24"/>
          <w:szCs w:val="24"/>
        </w:rPr>
        <w:t xml:space="preserve"> </w:t>
      </w:r>
      <w:r w:rsidR="00C843BD" w:rsidRPr="00842FE5">
        <w:rPr>
          <w:rFonts w:ascii="Times New Roman" w:hAnsi="Times New Roman" w:cs="Times New Roman"/>
          <w:color w:val="0D0D0D" w:themeColor="text1" w:themeTint="F2"/>
          <w:sz w:val="24"/>
          <w:szCs w:val="24"/>
        </w:rPr>
        <w:t xml:space="preserve">prospective, interventional, single-arm, </w:t>
      </w:r>
      <w:r w:rsidR="00222AC0" w:rsidRPr="00842FE5">
        <w:rPr>
          <w:rFonts w:ascii="Times New Roman" w:hAnsi="Times New Roman" w:cs="Times New Roman"/>
          <w:color w:val="0D0D0D" w:themeColor="text1" w:themeTint="F2"/>
          <w:sz w:val="24"/>
          <w:szCs w:val="24"/>
        </w:rPr>
        <w:t>P</w:t>
      </w:r>
      <w:r w:rsidR="00C843BD" w:rsidRPr="00842FE5">
        <w:rPr>
          <w:rFonts w:ascii="Times New Roman" w:hAnsi="Times New Roman" w:cs="Times New Roman"/>
          <w:color w:val="0D0D0D" w:themeColor="text1" w:themeTint="F2"/>
          <w:sz w:val="24"/>
          <w:szCs w:val="24"/>
        </w:rPr>
        <w:t>hase IV study (NCT03760991)</w:t>
      </w:r>
      <w:r w:rsidR="00AE3F51" w:rsidRPr="00842FE5">
        <w:rPr>
          <w:rFonts w:ascii="Times New Roman" w:hAnsi="Times New Roman" w:cs="Times New Roman"/>
          <w:color w:val="0D0D0D" w:themeColor="text1" w:themeTint="F2"/>
          <w:sz w:val="24"/>
          <w:szCs w:val="24"/>
        </w:rPr>
        <w:t>.</w:t>
      </w:r>
      <w:r w:rsidR="00C843BD" w:rsidRPr="00842FE5">
        <w:rPr>
          <w:rFonts w:ascii="Times New Roman" w:hAnsi="Times New Roman" w:cs="Times New Roman"/>
          <w:color w:val="0D0D0D" w:themeColor="text1" w:themeTint="F2"/>
          <w:sz w:val="24"/>
          <w:szCs w:val="24"/>
        </w:rPr>
        <w:t xml:space="preserve"> </w:t>
      </w:r>
      <w:r w:rsidR="004C48C6" w:rsidRPr="00842FE5">
        <w:rPr>
          <w:rFonts w:ascii="Times New Roman" w:hAnsi="Times New Roman" w:cs="Times New Roman"/>
          <w:color w:val="0D0D0D" w:themeColor="text1" w:themeTint="F2"/>
          <w:sz w:val="24"/>
          <w:szCs w:val="24"/>
        </w:rPr>
        <w:t>A</w:t>
      </w:r>
      <w:r w:rsidR="00C843BD" w:rsidRPr="00842FE5">
        <w:rPr>
          <w:rFonts w:ascii="Times New Roman" w:hAnsi="Times New Roman" w:cs="Times New Roman"/>
          <w:color w:val="0D0D0D" w:themeColor="text1" w:themeTint="F2"/>
          <w:sz w:val="24"/>
          <w:szCs w:val="24"/>
        </w:rPr>
        <w:t>dults with T2D</w:t>
      </w:r>
      <w:r w:rsidR="00F238D3" w:rsidRPr="00842FE5">
        <w:rPr>
          <w:rFonts w:ascii="Times New Roman" w:hAnsi="Times New Roman" w:cs="Times New Roman"/>
          <w:color w:val="0D0D0D" w:themeColor="text1" w:themeTint="F2"/>
          <w:sz w:val="24"/>
          <w:szCs w:val="24"/>
        </w:rPr>
        <w:t>M</w:t>
      </w:r>
      <w:r w:rsidR="00C843BD" w:rsidRPr="00842FE5">
        <w:rPr>
          <w:rFonts w:ascii="Times New Roman" w:hAnsi="Times New Roman" w:cs="Times New Roman"/>
          <w:color w:val="0D0D0D" w:themeColor="text1" w:themeTint="F2"/>
          <w:sz w:val="24"/>
          <w:szCs w:val="24"/>
        </w:rPr>
        <w:t xml:space="preserve"> </w:t>
      </w:r>
      <w:r w:rsidR="009E4AA5" w:rsidRPr="00842FE5">
        <w:rPr>
          <w:rFonts w:ascii="Times New Roman" w:hAnsi="Times New Roman" w:cs="Times New Roman"/>
          <w:color w:val="0D0D0D" w:themeColor="text1" w:themeTint="F2"/>
          <w:sz w:val="24"/>
          <w:szCs w:val="24"/>
        </w:rPr>
        <w:t xml:space="preserve">previously </w:t>
      </w:r>
      <w:r w:rsidR="00C843BD" w:rsidRPr="00842FE5">
        <w:rPr>
          <w:rFonts w:ascii="Times New Roman" w:hAnsi="Times New Roman" w:cs="Times New Roman"/>
          <w:color w:val="0D0D0D" w:themeColor="text1" w:themeTint="F2"/>
          <w:sz w:val="24"/>
          <w:szCs w:val="24"/>
        </w:rPr>
        <w:t xml:space="preserve">uncontrolled </w:t>
      </w:r>
      <w:r w:rsidR="00470887" w:rsidRPr="00842FE5">
        <w:rPr>
          <w:rFonts w:ascii="Times New Roman" w:hAnsi="Times New Roman" w:cs="Times New Roman"/>
          <w:color w:val="0D0D0D" w:themeColor="text1" w:themeTint="F2"/>
          <w:sz w:val="24"/>
          <w:szCs w:val="24"/>
        </w:rPr>
        <w:t>(</w:t>
      </w:r>
      <w:r w:rsidR="00AB6F5E" w:rsidRPr="00842FE5">
        <w:rPr>
          <w:rFonts w:ascii="Times New Roman" w:hAnsi="Times New Roman" w:cs="Times New Roman"/>
          <w:color w:val="0D0D0D" w:themeColor="text1" w:themeTint="F2"/>
          <w:sz w:val="24"/>
          <w:szCs w:val="24"/>
        </w:rPr>
        <w:t>glycated haemoglobin [</w:t>
      </w:r>
      <w:r w:rsidR="005F5C20" w:rsidRPr="00842FE5">
        <w:rPr>
          <w:rFonts w:ascii="Times New Roman" w:hAnsi="Times New Roman" w:cs="Times New Roman"/>
          <w:color w:val="0D0D0D" w:themeColor="text1" w:themeTint="F2"/>
          <w:sz w:val="24"/>
          <w:szCs w:val="24"/>
        </w:rPr>
        <w:t>HbA</w:t>
      </w:r>
      <w:r w:rsidR="005F5C20" w:rsidRPr="00842FE5">
        <w:rPr>
          <w:rFonts w:ascii="Times New Roman" w:hAnsi="Times New Roman" w:cs="Times New Roman"/>
          <w:color w:val="0D0D0D" w:themeColor="text1" w:themeTint="F2"/>
          <w:sz w:val="24"/>
          <w:szCs w:val="24"/>
          <w:vertAlign w:val="subscript"/>
        </w:rPr>
        <w:t>1c</w:t>
      </w:r>
      <w:r w:rsidR="00AB6F5E" w:rsidRPr="00842FE5">
        <w:rPr>
          <w:rFonts w:ascii="Times New Roman" w:hAnsi="Times New Roman" w:cs="Times New Roman"/>
          <w:color w:val="0D0D0D" w:themeColor="text1" w:themeTint="F2"/>
          <w:sz w:val="24"/>
          <w:szCs w:val="24"/>
        </w:rPr>
        <w:t>]</w:t>
      </w:r>
      <w:r w:rsidR="005F5C20" w:rsidRPr="00842FE5">
        <w:rPr>
          <w:rFonts w:ascii="Times New Roman" w:hAnsi="Times New Roman" w:cs="Times New Roman"/>
          <w:color w:val="0D0D0D" w:themeColor="text1" w:themeTint="F2"/>
          <w:sz w:val="24"/>
          <w:szCs w:val="24"/>
        </w:rPr>
        <w:t xml:space="preserve"> </w:t>
      </w:r>
      <w:r w:rsidR="00653923" w:rsidRPr="00842FE5">
        <w:rPr>
          <w:rFonts w:ascii="Times New Roman" w:hAnsi="Times New Roman" w:cs="Times New Roman"/>
          <w:color w:val="0D0D0D" w:themeColor="text1" w:themeTint="F2"/>
          <w:sz w:val="24"/>
          <w:szCs w:val="24"/>
        </w:rPr>
        <w:t>7.5</w:t>
      </w:r>
      <w:r w:rsidR="004F1550" w:rsidRPr="00842FE5">
        <w:rPr>
          <w:rFonts w:ascii="Times New Roman" w:hAnsi="Times New Roman" w:cs="Times New Roman"/>
          <w:color w:val="0D0D0D" w:themeColor="text1" w:themeTint="F2"/>
          <w:sz w:val="24"/>
          <w:szCs w:val="24"/>
        </w:rPr>
        <w:t>–</w:t>
      </w:r>
      <w:r w:rsidR="00653923" w:rsidRPr="00842FE5">
        <w:rPr>
          <w:rFonts w:ascii="Times New Roman" w:hAnsi="Times New Roman" w:cs="Times New Roman"/>
          <w:color w:val="0D0D0D" w:themeColor="text1" w:themeTint="F2"/>
          <w:sz w:val="24"/>
          <w:szCs w:val="24"/>
        </w:rPr>
        <w:t>10%</w:t>
      </w:r>
      <w:r w:rsidR="005F5C20" w:rsidRPr="00842FE5">
        <w:rPr>
          <w:rFonts w:ascii="Times New Roman" w:hAnsi="Times New Roman" w:cs="Times New Roman"/>
          <w:color w:val="0D0D0D" w:themeColor="text1" w:themeTint="F2"/>
          <w:sz w:val="24"/>
          <w:szCs w:val="24"/>
        </w:rPr>
        <w:t>)</w:t>
      </w:r>
      <w:r w:rsidR="00031F8C" w:rsidRPr="00842FE5">
        <w:rPr>
          <w:rFonts w:ascii="Times New Roman" w:hAnsi="Times New Roman" w:cs="Times New Roman"/>
          <w:color w:val="0D0D0D" w:themeColor="text1" w:themeTint="F2"/>
          <w:sz w:val="24"/>
          <w:szCs w:val="24"/>
        </w:rPr>
        <w:t xml:space="preserve"> </w:t>
      </w:r>
      <w:r w:rsidR="00C843BD" w:rsidRPr="00842FE5">
        <w:rPr>
          <w:rFonts w:ascii="Times New Roman" w:hAnsi="Times New Roman" w:cs="Times New Roman"/>
          <w:color w:val="0D0D0D" w:themeColor="text1" w:themeTint="F2"/>
          <w:sz w:val="24"/>
          <w:szCs w:val="24"/>
        </w:rPr>
        <w:t>on BI</w:t>
      </w:r>
      <w:r w:rsidR="00031F8C" w:rsidRPr="00842FE5">
        <w:rPr>
          <w:rFonts w:ascii="Times New Roman" w:hAnsi="Times New Roman" w:cs="Times New Roman"/>
          <w:color w:val="0D0D0D" w:themeColor="text1" w:themeTint="F2"/>
          <w:sz w:val="24"/>
          <w:szCs w:val="24"/>
        </w:rPr>
        <w:t xml:space="preserve"> were switched to Gla-300</w:t>
      </w:r>
      <w:r w:rsidR="00C843BD" w:rsidRPr="00842FE5">
        <w:rPr>
          <w:rFonts w:ascii="Times New Roman" w:hAnsi="Times New Roman" w:cs="Times New Roman"/>
          <w:color w:val="0D0D0D" w:themeColor="text1" w:themeTint="F2"/>
          <w:sz w:val="24"/>
          <w:szCs w:val="24"/>
        </w:rPr>
        <w:t>.</w:t>
      </w:r>
      <w:r w:rsidR="009E4AA5" w:rsidRPr="00842FE5">
        <w:rPr>
          <w:rFonts w:ascii="Times New Roman" w:hAnsi="Times New Roman" w:cs="Times New Roman"/>
          <w:color w:val="0D0D0D" w:themeColor="text1" w:themeTint="F2"/>
          <w:sz w:val="24"/>
          <w:szCs w:val="24"/>
        </w:rPr>
        <w:t xml:space="preserve"> </w:t>
      </w:r>
      <w:r w:rsidR="00161127" w:rsidRPr="00842FE5">
        <w:rPr>
          <w:rFonts w:ascii="Times New Roman" w:hAnsi="Times New Roman" w:cs="Times New Roman"/>
          <w:color w:val="0D0D0D" w:themeColor="text1" w:themeTint="F2"/>
          <w:sz w:val="24"/>
          <w:szCs w:val="24"/>
        </w:rPr>
        <w:t>The p</w:t>
      </w:r>
      <w:r w:rsidR="009E4AA5" w:rsidRPr="00842FE5">
        <w:rPr>
          <w:rFonts w:ascii="Times New Roman" w:hAnsi="Times New Roman" w:cs="Times New Roman"/>
          <w:color w:val="0D0D0D" w:themeColor="text1" w:themeTint="F2"/>
          <w:sz w:val="24"/>
          <w:szCs w:val="24"/>
        </w:rPr>
        <w:t>rimary endpoint was change in HbA</w:t>
      </w:r>
      <w:r w:rsidR="009E4AA5" w:rsidRPr="00842FE5">
        <w:rPr>
          <w:rFonts w:ascii="Times New Roman" w:hAnsi="Times New Roman" w:cs="Times New Roman"/>
          <w:color w:val="0D0D0D" w:themeColor="text1" w:themeTint="F2"/>
          <w:sz w:val="24"/>
          <w:szCs w:val="24"/>
          <w:vertAlign w:val="subscript"/>
        </w:rPr>
        <w:t>1c</w:t>
      </w:r>
      <w:r w:rsidR="000271F0" w:rsidRPr="00842FE5">
        <w:rPr>
          <w:rFonts w:ascii="Times New Roman" w:hAnsi="Times New Roman" w:cs="Times New Roman"/>
          <w:color w:val="0D0D0D" w:themeColor="text1" w:themeTint="F2"/>
          <w:sz w:val="24"/>
          <w:szCs w:val="24"/>
          <w:vertAlign w:val="subscript"/>
        </w:rPr>
        <w:t xml:space="preserve"> </w:t>
      </w:r>
      <w:r w:rsidR="009E4AA5" w:rsidRPr="00842FE5">
        <w:rPr>
          <w:rFonts w:ascii="Times New Roman" w:hAnsi="Times New Roman" w:cs="Times New Roman"/>
          <w:color w:val="0D0D0D" w:themeColor="text1" w:themeTint="F2"/>
          <w:sz w:val="24"/>
          <w:szCs w:val="24"/>
        </w:rPr>
        <w:t>from baseline</w:t>
      </w:r>
      <w:r w:rsidR="000271F0" w:rsidRPr="00842FE5">
        <w:rPr>
          <w:rFonts w:ascii="Times New Roman" w:hAnsi="Times New Roman" w:cs="Times New Roman"/>
          <w:color w:val="0D0D0D" w:themeColor="text1" w:themeTint="F2"/>
          <w:sz w:val="24"/>
          <w:szCs w:val="24"/>
        </w:rPr>
        <w:t xml:space="preserve"> </w:t>
      </w:r>
      <w:r w:rsidR="009E4AA5" w:rsidRPr="00842FE5">
        <w:rPr>
          <w:rFonts w:ascii="Times New Roman" w:hAnsi="Times New Roman" w:cs="Times New Roman"/>
          <w:color w:val="0D0D0D" w:themeColor="text1" w:themeTint="F2"/>
          <w:sz w:val="24"/>
          <w:szCs w:val="24"/>
        </w:rPr>
        <w:t>to</w:t>
      </w:r>
      <w:r w:rsidR="000271F0" w:rsidRPr="00842FE5">
        <w:rPr>
          <w:rFonts w:ascii="Times New Roman" w:hAnsi="Times New Roman" w:cs="Times New Roman"/>
          <w:color w:val="0D0D0D" w:themeColor="text1" w:themeTint="F2"/>
          <w:sz w:val="24"/>
          <w:szCs w:val="24"/>
        </w:rPr>
        <w:t xml:space="preserve"> </w:t>
      </w:r>
      <w:r w:rsidR="009E4AA5" w:rsidRPr="00842FE5">
        <w:rPr>
          <w:rFonts w:ascii="Times New Roman" w:hAnsi="Times New Roman" w:cs="Times New Roman"/>
          <w:color w:val="0D0D0D" w:themeColor="text1" w:themeTint="F2"/>
          <w:sz w:val="24"/>
          <w:szCs w:val="24"/>
        </w:rPr>
        <w:t>26 weeks.</w:t>
      </w:r>
      <w:r w:rsidR="000271F0" w:rsidRPr="00842FE5">
        <w:rPr>
          <w:rFonts w:ascii="Times New Roman" w:hAnsi="Times New Roman" w:cs="Times New Roman"/>
          <w:color w:val="0D0D0D" w:themeColor="text1" w:themeTint="F2"/>
          <w:sz w:val="24"/>
          <w:szCs w:val="24"/>
        </w:rPr>
        <w:t xml:space="preserve"> </w:t>
      </w:r>
      <w:r w:rsidR="00DB1D68" w:rsidRPr="00842FE5">
        <w:rPr>
          <w:rFonts w:ascii="Times New Roman" w:hAnsi="Times New Roman" w:cs="Times New Roman"/>
          <w:color w:val="0D0D0D" w:themeColor="text1" w:themeTint="F2"/>
          <w:sz w:val="24"/>
          <w:szCs w:val="24"/>
        </w:rPr>
        <w:t xml:space="preserve">Key secondary endpoints </w:t>
      </w:r>
      <w:r w:rsidR="00C06457" w:rsidRPr="00842FE5">
        <w:rPr>
          <w:rFonts w:ascii="Times New Roman" w:hAnsi="Times New Roman" w:cs="Times New Roman"/>
          <w:color w:val="0D0D0D" w:themeColor="text1" w:themeTint="F2"/>
          <w:sz w:val="24"/>
          <w:szCs w:val="24"/>
        </w:rPr>
        <w:t>were change</w:t>
      </w:r>
      <w:r w:rsidR="00355ACF" w:rsidRPr="00842FE5">
        <w:rPr>
          <w:rFonts w:ascii="Times New Roman" w:hAnsi="Times New Roman" w:cs="Times New Roman"/>
          <w:color w:val="0D0D0D" w:themeColor="text1" w:themeTint="F2"/>
          <w:sz w:val="24"/>
          <w:szCs w:val="24"/>
        </w:rPr>
        <w:t>s</w:t>
      </w:r>
      <w:r w:rsidR="00C06457" w:rsidRPr="00842FE5">
        <w:rPr>
          <w:rFonts w:ascii="Times New Roman" w:hAnsi="Times New Roman" w:cs="Times New Roman"/>
          <w:color w:val="0D0D0D" w:themeColor="text1" w:themeTint="F2"/>
          <w:sz w:val="24"/>
          <w:szCs w:val="24"/>
        </w:rPr>
        <w:t xml:space="preserve"> in HbA</w:t>
      </w:r>
      <w:r w:rsidR="00C06457" w:rsidRPr="00842FE5">
        <w:rPr>
          <w:rFonts w:ascii="Times New Roman" w:hAnsi="Times New Roman" w:cs="Times New Roman"/>
          <w:color w:val="0D0D0D" w:themeColor="text1" w:themeTint="F2"/>
          <w:sz w:val="24"/>
          <w:szCs w:val="24"/>
          <w:vertAlign w:val="subscript"/>
        </w:rPr>
        <w:t>1c</w:t>
      </w:r>
      <w:r w:rsidR="00C06457" w:rsidRPr="00842FE5">
        <w:rPr>
          <w:rFonts w:ascii="Times New Roman" w:hAnsi="Times New Roman" w:cs="Times New Roman"/>
          <w:color w:val="0D0D0D" w:themeColor="text1" w:themeTint="F2"/>
          <w:sz w:val="24"/>
          <w:szCs w:val="24"/>
        </w:rPr>
        <w:t xml:space="preserve"> </w:t>
      </w:r>
      <w:r w:rsidR="00355ACF" w:rsidRPr="00842FE5">
        <w:rPr>
          <w:rFonts w:ascii="Times New Roman" w:hAnsi="Times New Roman" w:cs="Times New Roman"/>
          <w:color w:val="0D0D0D" w:themeColor="text1" w:themeTint="F2"/>
          <w:sz w:val="24"/>
          <w:szCs w:val="24"/>
        </w:rPr>
        <w:t>(</w:t>
      </w:r>
      <w:r w:rsidR="00C06457" w:rsidRPr="00842FE5">
        <w:rPr>
          <w:rFonts w:ascii="Times New Roman" w:hAnsi="Times New Roman" w:cs="Times New Roman"/>
          <w:color w:val="0D0D0D" w:themeColor="text1" w:themeTint="F2"/>
          <w:sz w:val="24"/>
          <w:szCs w:val="24"/>
        </w:rPr>
        <w:t>Week 12</w:t>
      </w:r>
      <w:r w:rsidR="00355ACF" w:rsidRPr="00842FE5">
        <w:rPr>
          <w:rFonts w:ascii="Times New Roman" w:hAnsi="Times New Roman" w:cs="Times New Roman"/>
          <w:color w:val="0D0D0D" w:themeColor="text1" w:themeTint="F2"/>
          <w:sz w:val="24"/>
          <w:szCs w:val="24"/>
        </w:rPr>
        <w:t>)</w:t>
      </w:r>
      <w:r w:rsidR="00C06457" w:rsidRPr="00842FE5">
        <w:rPr>
          <w:rFonts w:ascii="Times New Roman" w:hAnsi="Times New Roman" w:cs="Times New Roman"/>
          <w:color w:val="0D0D0D" w:themeColor="text1" w:themeTint="F2"/>
          <w:sz w:val="24"/>
          <w:szCs w:val="24"/>
        </w:rPr>
        <w:t xml:space="preserve">, </w:t>
      </w:r>
      <w:r w:rsidR="00FC4022" w:rsidRPr="00842FE5">
        <w:rPr>
          <w:rFonts w:ascii="Times New Roman" w:hAnsi="Times New Roman" w:cs="Times New Roman"/>
          <w:color w:val="0D0D0D" w:themeColor="text1" w:themeTint="F2"/>
          <w:sz w:val="24"/>
          <w:szCs w:val="24"/>
        </w:rPr>
        <w:t>fasting plasma glucose (FPG)</w:t>
      </w:r>
      <w:r w:rsidR="00355ACF" w:rsidRPr="00842FE5">
        <w:rPr>
          <w:rFonts w:ascii="Times New Roman" w:hAnsi="Times New Roman" w:cs="Times New Roman"/>
          <w:color w:val="0D0D0D" w:themeColor="text1" w:themeTint="F2"/>
          <w:sz w:val="24"/>
          <w:szCs w:val="24"/>
        </w:rPr>
        <w:t>,</w:t>
      </w:r>
      <w:r w:rsidR="00FC4022" w:rsidRPr="00842FE5">
        <w:rPr>
          <w:rFonts w:ascii="Times New Roman" w:hAnsi="Times New Roman" w:cs="Times New Roman"/>
          <w:color w:val="0D0D0D" w:themeColor="text1" w:themeTint="F2"/>
          <w:sz w:val="24"/>
          <w:szCs w:val="24"/>
        </w:rPr>
        <w:t xml:space="preserve"> self-monitored plasma glucose (SMPG)</w:t>
      </w:r>
      <w:r w:rsidR="00161127" w:rsidRPr="00842FE5">
        <w:rPr>
          <w:rFonts w:ascii="Times New Roman" w:hAnsi="Times New Roman" w:cs="Times New Roman"/>
          <w:color w:val="0D0D0D" w:themeColor="text1" w:themeTint="F2"/>
          <w:sz w:val="24"/>
          <w:szCs w:val="24"/>
        </w:rPr>
        <w:t xml:space="preserve"> and</w:t>
      </w:r>
      <w:r w:rsidR="00FC4022" w:rsidRPr="00842FE5">
        <w:rPr>
          <w:rFonts w:ascii="Times New Roman" w:hAnsi="Times New Roman" w:cs="Times New Roman"/>
          <w:color w:val="0D0D0D" w:themeColor="text1" w:themeTint="F2"/>
          <w:sz w:val="24"/>
          <w:szCs w:val="24"/>
        </w:rPr>
        <w:t xml:space="preserve"> </w:t>
      </w:r>
      <w:r w:rsidR="008E3436" w:rsidRPr="00842FE5">
        <w:rPr>
          <w:rFonts w:ascii="Times New Roman" w:hAnsi="Times New Roman" w:cs="Times New Roman"/>
          <w:color w:val="0D0D0D" w:themeColor="text1" w:themeTint="F2"/>
          <w:sz w:val="24"/>
          <w:szCs w:val="24"/>
        </w:rPr>
        <w:t>BI dose</w:t>
      </w:r>
      <w:r w:rsidR="001A7E63" w:rsidRPr="00842FE5">
        <w:rPr>
          <w:rFonts w:ascii="Times New Roman" w:hAnsi="Times New Roman" w:cs="Times New Roman"/>
          <w:color w:val="0D0D0D" w:themeColor="text1" w:themeTint="F2"/>
          <w:sz w:val="24"/>
          <w:szCs w:val="24"/>
        </w:rPr>
        <w:t xml:space="preserve"> </w:t>
      </w:r>
      <w:r w:rsidR="0062660B" w:rsidRPr="00842FE5">
        <w:rPr>
          <w:rFonts w:ascii="Times New Roman" w:hAnsi="Times New Roman" w:cs="Times New Roman"/>
          <w:color w:val="0D0D0D" w:themeColor="text1" w:themeTint="F2"/>
          <w:sz w:val="24"/>
          <w:szCs w:val="24"/>
        </w:rPr>
        <w:t>from baseline to Week 26</w:t>
      </w:r>
      <w:r w:rsidR="00FC4022" w:rsidRPr="00842FE5">
        <w:rPr>
          <w:rFonts w:ascii="Times New Roman" w:hAnsi="Times New Roman" w:cs="Times New Roman"/>
          <w:color w:val="0D0D0D" w:themeColor="text1" w:themeTint="F2"/>
          <w:sz w:val="24"/>
          <w:szCs w:val="24"/>
        </w:rPr>
        <w:t>.</w:t>
      </w:r>
      <w:r w:rsidR="001A7E63" w:rsidRPr="00842FE5">
        <w:rPr>
          <w:rFonts w:ascii="Times New Roman" w:hAnsi="Times New Roman" w:cs="Times New Roman"/>
          <w:color w:val="0D0D0D" w:themeColor="text1" w:themeTint="F2"/>
          <w:sz w:val="24"/>
          <w:szCs w:val="24"/>
        </w:rPr>
        <w:t xml:space="preserve"> </w:t>
      </w:r>
      <w:r w:rsidR="00161127" w:rsidRPr="00842FE5">
        <w:rPr>
          <w:rFonts w:ascii="Times New Roman" w:hAnsi="Times New Roman" w:cs="Times New Roman"/>
          <w:color w:val="0D0D0D" w:themeColor="text1" w:themeTint="F2"/>
          <w:sz w:val="24"/>
          <w:szCs w:val="24"/>
        </w:rPr>
        <w:t>The s</w:t>
      </w:r>
      <w:r w:rsidR="0069097F" w:rsidRPr="00842FE5">
        <w:rPr>
          <w:rFonts w:ascii="Times New Roman" w:hAnsi="Times New Roman" w:cs="Times New Roman"/>
          <w:color w:val="0D0D0D" w:themeColor="text1" w:themeTint="F2"/>
          <w:sz w:val="24"/>
          <w:szCs w:val="24"/>
        </w:rPr>
        <w:t>afety and tolerability</w:t>
      </w:r>
      <w:r w:rsidR="00161127" w:rsidRPr="00842FE5">
        <w:rPr>
          <w:rFonts w:ascii="Times New Roman" w:hAnsi="Times New Roman" w:cs="Times New Roman"/>
          <w:color w:val="0D0D0D" w:themeColor="text1" w:themeTint="F2"/>
          <w:sz w:val="24"/>
          <w:szCs w:val="24"/>
        </w:rPr>
        <w:t xml:space="preserve"> of Gla-300</w:t>
      </w:r>
      <w:r w:rsidR="0069097F" w:rsidRPr="00842FE5">
        <w:rPr>
          <w:rFonts w:ascii="Times New Roman" w:hAnsi="Times New Roman" w:cs="Times New Roman"/>
          <w:color w:val="0D0D0D" w:themeColor="text1" w:themeTint="F2"/>
          <w:sz w:val="24"/>
          <w:szCs w:val="24"/>
        </w:rPr>
        <w:t xml:space="preserve"> </w:t>
      </w:r>
      <w:r w:rsidR="004B6AEC" w:rsidRPr="00842FE5">
        <w:rPr>
          <w:rFonts w:ascii="Times New Roman" w:hAnsi="Times New Roman" w:cs="Times New Roman"/>
          <w:color w:val="0D0D0D" w:themeColor="text1" w:themeTint="F2"/>
          <w:sz w:val="24"/>
          <w:szCs w:val="24"/>
        </w:rPr>
        <w:t xml:space="preserve">were </w:t>
      </w:r>
      <w:r w:rsidR="0069097F" w:rsidRPr="00842FE5">
        <w:rPr>
          <w:rFonts w:ascii="Times New Roman" w:hAnsi="Times New Roman" w:cs="Times New Roman"/>
          <w:color w:val="0D0D0D" w:themeColor="text1" w:themeTint="F2"/>
          <w:sz w:val="24"/>
          <w:szCs w:val="24"/>
        </w:rPr>
        <w:t>also assessed.</w:t>
      </w:r>
    </w:p>
    <w:p w14:paraId="64561909" w14:textId="3C3FE7F5" w:rsidR="00C56128" w:rsidRPr="00842FE5" w:rsidRDefault="0058464E" w:rsidP="003858C4">
      <w:pPr>
        <w:spacing w:line="480" w:lineRule="auto"/>
        <w:rPr>
          <w:rFonts w:ascii="Times New Roman" w:hAnsi="Times New Roman" w:cs="Times New Roman"/>
          <w:color w:val="0D0D0D" w:themeColor="text1" w:themeTint="F2"/>
          <w:sz w:val="24"/>
          <w:szCs w:val="24"/>
        </w:rPr>
      </w:pPr>
      <w:r w:rsidRPr="00842FE5">
        <w:rPr>
          <w:rFonts w:ascii="Times New Roman" w:hAnsi="Times New Roman" w:cs="Times New Roman"/>
          <w:b/>
          <w:bCs/>
          <w:color w:val="0D0D0D" w:themeColor="text1" w:themeTint="F2"/>
          <w:sz w:val="24"/>
          <w:szCs w:val="24"/>
        </w:rPr>
        <w:t>Results</w:t>
      </w:r>
      <w:r w:rsidR="000470E3" w:rsidRPr="00842FE5">
        <w:rPr>
          <w:rFonts w:ascii="Times New Roman" w:hAnsi="Times New Roman" w:cs="Times New Roman"/>
          <w:b/>
          <w:bCs/>
          <w:color w:val="0D0D0D" w:themeColor="text1" w:themeTint="F2"/>
          <w:sz w:val="24"/>
          <w:szCs w:val="24"/>
        </w:rPr>
        <w:t xml:space="preserve">: </w:t>
      </w:r>
      <w:r w:rsidR="00F04D63" w:rsidRPr="00842FE5">
        <w:rPr>
          <w:rFonts w:ascii="Times New Roman" w:hAnsi="Times New Roman" w:cs="Times New Roman"/>
          <w:color w:val="0D0D0D" w:themeColor="text1" w:themeTint="F2"/>
          <w:sz w:val="24"/>
          <w:szCs w:val="24"/>
        </w:rPr>
        <w:t>A total of 372 (50% male)</w:t>
      </w:r>
      <w:r w:rsidR="00732DD5" w:rsidRPr="00842FE5">
        <w:rPr>
          <w:rFonts w:ascii="Times New Roman" w:hAnsi="Times New Roman" w:cs="Times New Roman"/>
          <w:color w:val="0D0D0D" w:themeColor="text1" w:themeTint="F2"/>
          <w:sz w:val="24"/>
          <w:szCs w:val="24"/>
        </w:rPr>
        <w:t xml:space="preserve"> </w:t>
      </w:r>
      <w:r w:rsidR="002F27DD" w:rsidRPr="00842FE5">
        <w:rPr>
          <w:rFonts w:ascii="Times New Roman" w:hAnsi="Times New Roman" w:cs="Times New Roman"/>
          <w:color w:val="0D0D0D" w:themeColor="text1" w:themeTint="F2"/>
          <w:sz w:val="24"/>
          <w:szCs w:val="24"/>
        </w:rPr>
        <w:t xml:space="preserve">participants </w:t>
      </w:r>
      <w:r w:rsidR="00732DD5" w:rsidRPr="00842FE5">
        <w:rPr>
          <w:rFonts w:ascii="Times New Roman" w:hAnsi="Times New Roman" w:cs="Times New Roman"/>
          <w:color w:val="0D0D0D" w:themeColor="text1" w:themeTint="F2"/>
          <w:sz w:val="24"/>
          <w:szCs w:val="24"/>
        </w:rPr>
        <w:t>were included</w:t>
      </w:r>
      <w:r w:rsidR="00F04D63" w:rsidRPr="00842FE5">
        <w:rPr>
          <w:rFonts w:ascii="Times New Roman" w:hAnsi="Times New Roman" w:cs="Times New Roman"/>
          <w:color w:val="0D0D0D" w:themeColor="text1" w:themeTint="F2"/>
          <w:sz w:val="24"/>
          <w:szCs w:val="24"/>
        </w:rPr>
        <w:t xml:space="preserve">, </w:t>
      </w:r>
      <w:r w:rsidR="00355ACF" w:rsidRPr="00842FE5">
        <w:rPr>
          <w:rFonts w:ascii="Times New Roman" w:hAnsi="Times New Roman" w:cs="Times New Roman"/>
          <w:color w:val="0D0D0D" w:themeColor="text1" w:themeTint="F2"/>
          <w:sz w:val="24"/>
          <w:szCs w:val="24"/>
        </w:rPr>
        <w:t>with</w:t>
      </w:r>
      <w:r w:rsidR="00F04D63" w:rsidRPr="00842FE5">
        <w:rPr>
          <w:rFonts w:ascii="Times New Roman" w:hAnsi="Times New Roman" w:cs="Times New Roman"/>
          <w:color w:val="0D0D0D" w:themeColor="text1" w:themeTint="F2"/>
          <w:sz w:val="24"/>
          <w:szCs w:val="24"/>
        </w:rPr>
        <w:t xml:space="preserve"> mean </w:t>
      </w:r>
      <w:r w:rsidR="00AB36D3" w:rsidRPr="00842FE5">
        <w:rPr>
          <w:rFonts w:ascii="Times New Roman" w:hAnsi="Times New Roman" w:cs="Times New Roman"/>
          <w:color w:val="0D0D0D" w:themeColor="text1" w:themeTint="F2"/>
          <w:sz w:val="24"/>
          <w:szCs w:val="24"/>
        </w:rPr>
        <w:t>(</w:t>
      </w:r>
      <w:r w:rsidR="002F27DD" w:rsidRPr="00842FE5">
        <w:rPr>
          <w:rFonts w:ascii="Times New Roman" w:hAnsi="Times New Roman" w:cs="Times New Roman"/>
          <w:color w:val="0D0D0D" w:themeColor="text1" w:themeTint="F2"/>
          <w:sz w:val="24"/>
          <w:szCs w:val="24"/>
        </w:rPr>
        <w:t xml:space="preserve">standard deviation </w:t>
      </w:r>
      <w:r w:rsidR="007A5EC9" w:rsidRPr="00842FE5">
        <w:rPr>
          <w:rFonts w:ascii="Times New Roman" w:hAnsi="Times New Roman" w:cs="Times New Roman"/>
          <w:color w:val="0D0D0D" w:themeColor="text1" w:themeTint="F2"/>
          <w:sz w:val="24"/>
          <w:szCs w:val="24"/>
        </w:rPr>
        <w:t>[</w:t>
      </w:r>
      <w:r w:rsidR="00F04D63" w:rsidRPr="00842FE5">
        <w:rPr>
          <w:rFonts w:ascii="Times New Roman" w:hAnsi="Times New Roman" w:cs="Times New Roman"/>
          <w:color w:val="0D0D0D" w:themeColor="text1" w:themeTint="F2"/>
          <w:sz w:val="24"/>
          <w:szCs w:val="24"/>
        </w:rPr>
        <w:t>SD</w:t>
      </w:r>
      <w:r w:rsidR="007A5EC9" w:rsidRPr="00842FE5">
        <w:rPr>
          <w:rFonts w:ascii="Times New Roman" w:hAnsi="Times New Roman" w:cs="Times New Roman"/>
          <w:color w:val="0D0D0D" w:themeColor="text1" w:themeTint="F2"/>
          <w:sz w:val="24"/>
          <w:szCs w:val="24"/>
        </w:rPr>
        <w:t>]</w:t>
      </w:r>
      <w:r w:rsidR="00F04D63" w:rsidRPr="00842FE5">
        <w:rPr>
          <w:rFonts w:ascii="Times New Roman" w:hAnsi="Times New Roman" w:cs="Times New Roman"/>
          <w:color w:val="0D0D0D" w:themeColor="text1" w:themeTint="F2"/>
          <w:sz w:val="24"/>
          <w:szCs w:val="24"/>
        </w:rPr>
        <w:t>) age 60.9 (10.0) years</w:t>
      </w:r>
      <w:r w:rsidR="00732DD5" w:rsidRPr="00842FE5">
        <w:rPr>
          <w:rFonts w:ascii="Times New Roman" w:hAnsi="Times New Roman" w:cs="Times New Roman"/>
          <w:color w:val="0D0D0D" w:themeColor="text1" w:themeTint="F2"/>
          <w:sz w:val="24"/>
          <w:szCs w:val="24"/>
        </w:rPr>
        <w:t>,</w:t>
      </w:r>
      <w:r w:rsidR="00F04D63" w:rsidRPr="00842FE5">
        <w:rPr>
          <w:rFonts w:ascii="Times New Roman" w:hAnsi="Times New Roman" w:cs="Times New Roman"/>
          <w:color w:val="0D0D0D" w:themeColor="text1" w:themeTint="F2"/>
          <w:sz w:val="24"/>
          <w:szCs w:val="24"/>
        </w:rPr>
        <w:t xml:space="preserve"> </w:t>
      </w:r>
      <w:r w:rsidR="00C66DEA" w:rsidRPr="00842FE5">
        <w:rPr>
          <w:rFonts w:ascii="Times New Roman" w:hAnsi="Times New Roman" w:cs="Times New Roman"/>
          <w:color w:val="0D0D0D" w:themeColor="text1" w:themeTint="F2"/>
          <w:sz w:val="24"/>
          <w:szCs w:val="24"/>
        </w:rPr>
        <w:t xml:space="preserve">duration of </w:t>
      </w:r>
      <w:r w:rsidR="00F04D63" w:rsidRPr="00842FE5">
        <w:rPr>
          <w:rFonts w:ascii="Times New Roman" w:hAnsi="Times New Roman" w:cs="Times New Roman"/>
          <w:color w:val="0D0D0D" w:themeColor="text1" w:themeTint="F2"/>
          <w:sz w:val="24"/>
          <w:szCs w:val="24"/>
        </w:rPr>
        <w:t xml:space="preserve">diabetes </w:t>
      </w:r>
      <w:r w:rsidR="008775BC" w:rsidRPr="00842FE5">
        <w:rPr>
          <w:rFonts w:ascii="Times New Roman" w:hAnsi="Times New Roman" w:cs="Times New Roman"/>
          <w:color w:val="0D0D0D" w:themeColor="text1" w:themeTint="F2"/>
          <w:sz w:val="24"/>
          <w:szCs w:val="24"/>
        </w:rPr>
        <w:t xml:space="preserve">13.11 </w:t>
      </w:r>
      <w:r w:rsidR="002E65CB" w:rsidRPr="00842FE5">
        <w:rPr>
          <w:rFonts w:ascii="Times New Roman" w:hAnsi="Times New Roman" w:cs="Times New Roman"/>
          <w:color w:val="0D0D0D" w:themeColor="text1" w:themeTint="F2"/>
          <w:sz w:val="24"/>
          <w:szCs w:val="24"/>
        </w:rPr>
        <w:t>(</w:t>
      </w:r>
      <w:r w:rsidR="00653923" w:rsidRPr="00842FE5">
        <w:rPr>
          <w:rFonts w:ascii="Times New Roman" w:hAnsi="Times New Roman" w:cs="Times New Roman"/>
          <w:color w:val="0D0D0D" w:themeColor="text1" w:themeTint="F2"/>
          <w:sz w:val="24"/>
          <w:szCs w:val="24"/>
        </w:rPr>
        <w:t>7.48</w:t>
      </w:r>
      <w:r w:rsidR="002E65CB" w:rsidRPr="00842FE5">
        <w:rPr>
          <w:rFonts w:ascii="Times New Roman" w:hAnsi="Times New Roman" w:cs="Times New Roman"/>
          <w:color w:val="0D0D0D" w:themeColor="text1" w:themeTint="F2"/>
          <w:sz w:val="24"/>
          <w:szCs w:val="24"/>
        </w:rPr>
        <w:t>)</w:t>
      </w:r>
      <w:r w:rsidR="00F04D63" w:rsidRPr="00842FE5">
        <w:rPr>
          <w:rFonts w:ascii="Times New Roman" w:hAnsi="Times New Roman" w:cs="Times New Roman"/>
          <w:color w:val="0D0D0D" w:themeColor="text1" w:themeTint="F2"/>
          <w:sz w:val="24"/>
          <w:szCs w:val="24"/>
        </w:rPr>
        <w:t xml:space="preserve"> years</w:t>
      </w:r>
      <w:r w:rsidR="008775BC" w:rsidRPr="00842FE5">
        <w:rPr>
          <w:rFonts w:ascii="Times New Roman" w:hAnsi="Times New Roman" w:cs="Times New Roman"/>
          <w:color w:val="0D0D0D" w:themeColor="text1" w:themeTint="F2"/>
          <w:sz w:val="24"/>
          <w:szCs w:val="24"/>
        </w:rPr>
        <w:t xml:space="preserve"> </w:t>
      </w:r>
      <w:r w:rsidR="00092892" w:rsidRPr="00842FE5">
        <w:rPr>
          <w:rFonts w:ascii="Times New Roman" w:hAnsi="Times New Roman" w:cs="Times New Roman"/>
          <w:color w:val="0D0D0D" w:themeColor="text1" w:themeTint="F2"/>
          <w:sz w:val="24"/>
          <w:szCs w:val="24"/>
        </w:rPr>
        <w:t>and baseline HbA</w:t>
      </w:r>
      <w:r w:rsidR="00092892" w:rsidRPr="00E16643">
        <w:rPr>
          <w:rFonts w:ascii="Times New Roman" w:hAnsi="Times New Roman" w:cs="Times New Roman"/>
          <w:color w:val="0D0D0D" w:themeColor="text1" w:themeTint="F2"/>
          <w:sz w:val="24"/>
          <w:szCs w:val="24"/>
          <w:vertAlign w:val="subscript"/>
        </w:rPr>
        <w:t>1c</w:t>
      </w:r>
      <w:r w:rsidR="00092892" w:rsidRPr="00E16643">
        <w:rPr>
          <w:rFonts w:ascii="Times New Roman" w:hAnsi="Times New Roman" w:cs="Times New Roman"/>
          <w:color w:val="0D0D0D" w:themeColor="text1" w:themeTint="F2"/>
          <w:sz w:val="24"/>
          <w:szCs w:val="24"/>
        </w:rPr>
        <w:t xml:space="preserve"> </w:t>
      </w:r>
      <w:r w:rsidR="008775BC" w:rsidRPr="00842FE5">
        <w:rPr>
          <w:rFonts w:ascii="Times New Roman" w:hAnsi="Times New Roman" w:cs="Times New Roman"/>
          <w:color w:val="0D0D0D" w:themeColor="text1" w:themeTint="F2"/>
          <w:sz w:val="24"/>
          <w:szCs w:val="24"/>
        </w:rPr>
        <w:t>8.67</w:t>
      </w:r>
      <w:r w:rsidR="00A26313" w:rsidRPr="00842FE5">
        <w:rPr>
          <w:rFonts w:ascii="Times New Roman" w:hAnsi="Times New Roman" w:cs="Times New Roman"/>
          <w:color w:val="0D0D0D" w:themeColor="text1" w:themeTint="F2"/>
          <w:sz w:val="24"/>
          <w:szCs w:val="24"/>
        </w:rPr>
        <w:t xml:space="preserve"> (</w:t>
      </w:r>
      <w:r w:rsidR="00DC0178" w:rsidRPr="00842FE5">
        <w:rPr>
          <w:rFonts w:ascii="Times New Roman" w:hAnsi="Times New Roman" w:cs="Times New Roman"/>
          <w:color w:val="0D0D0D" w:themeColor="text1" w:themeTint="F2"/>
          <w:sz w:val="24"/>
          <w:szCs w:val="24"/>
        </w:rPr>
        <w:t>0.77</w:t>
      </w:r>
      <w:r w:rsidR="00A26313" w:rsidRPr="00842FE5">
        <w:rPr>
          <w:rFonts w:ascii="Times New Roman" w:hAnsi="Times New Roman" w:cs="Times New Roman"/>
          <w:color w:val="0D0D0D" w:themeColor="text1" w:themeTint="F2"/>
          <w:sz w:val="24"/>
          <w:szCs w:val="24"/>
        </w:rPr>
        <w:t>)</w:t>
      </w:r>
      <w:r w:rsidR="008775BC" w:rsidRPr="00842FE5">
        <w:rPr>
          <w:rFonts w:ascii="Times New Roman" w:hAnsi="Times New Roman" w:cs="Times New Roman"/>
          <w:color w:val="0D0D0D" w:themeColor="text1" w:themeTint="F2"/>
          <w:sz w:val="24"/>
          <w:szCs w:val="24"/>
        </w:rPr>
        <w:t>%</w:t>
      </w:r>
      <w:r w:rsidR="00142A04">
        <w:rPr>
          <w:rFonts w:ascii="Times New Roman" w:hAnsi="Times New Roman" w:cs="Times New Roman"/>
          <w:color w:val="0D0D0D" w:themeColor="text1" w:themeTint="F2"/>
          <w:sz w:val="24"/>
          <w:szCs w:val="24"/>
        </w:rPr>
        <w:t xml:space="preserve"> </w:t>
      </w:r>
      <w:r w:rsidR="000F13D8">
        <w:rPr>
          <w:rFonts w:ascii="Times New Roman" w:hAnsi="Times New Roman" w:cs="Times New Roman"/>
          <w:color w:val="0D0D0D" w:themeColor="text1" w:themeTint="F2"/>
          <w:sz w:val="24"/>
          <w:szCs w:val="24"/>
        </w:rPr>
        <w:t>(</w:t>
      </w:r>
      <w:r w:rsidR="00142A04" w:rsidRPr="00E16643">
        <w:rPr>
          <w:rFonts w:ascii="Times New Roman" w:hAnsi="Times New Roman" w:cs="Times New Roman"/>
          <w:color w:val="0D0D0D" w:themeColor="text1" w:themeTint="F2"/>
          <w:sz w:val="24"/>
          <w:szCs w:val="24"/>
        </w:rPr>
        <w:t>71.22</w:t>
      </w:r>
      <w:r w:rsidR="00E16643" w:rsidRPr="00E16643">
        <w:rPr>
          <w:rFonts w:ascii="Times New Roman" w:hAnsi="Times New Roman" w:cs="Times New Roman"/>
          <w:color w:val="0D0D0D" w:themeColor="text1" w:themeTint="F2"/>
          <w:sz w:val="24"/>
          <w:szCs w:val="24"/>
        </w:rPr>
        <w:t xml:space="preserve"> </w:t>
      </w:r>
      <w:r w:rsidR="000F13D8">
        <w:rPr>
          <w:rFonts w:ascii="Times New Roman" w:hAnsi="Times New Roman" w:cs="Times New Roman"/>
          <w:color w:val="0D0D0D" w:themeColor="text1" w:themeTint="F2"/>
          <w:sz w:val="24"/>
          <w:szCs w:val="24"/>
        </w:rPr>
        <w:t>[</w:t>
      </w:r>
      <w:r w:rsidR="007D7796" w:rsidRPr="00E16643">
        <w:rPr>
          <w:rFonts w:ascii="Times New Roman" w:hAnsi="Times New Roman" w:cs="Times New Roman"/>
          <w:color w:val="0D0D0D" w:themeColor="text1" w:themeTint="F2"/>
          <w:sz w:val="24"/>
          <w:szCs w:val="24"/>
        </w:rPr>
        <w:t>8.44</w:t>
      </w:r>
      <w:r w:rsidR="000F13D8">
        <w:rPr>
          <w:rFonts w:ascii="Times New Roman" w:hAnsi="Times New Roman" w:cs="Times New Roman"/>
          <w:color w:val="0D0D0D" w:themeColor="text1" w:themeTint="F2"/>
          <w:sz w:val="24"/>
          <w:szCs w:val="24"/>
        </w:rPr>
        <w:t>]</w:t>
      </w:r>
      <w:r w:rsidR="007D7796" w:rsidRPr="00E16643">
        <w:rPr>
          <w:rFonts w:ascii="Times New Roman" w:hAnsi="Times New Roman" w:cs="Times New Roman"/>
          <w:color w:val="0D0D0D" w:themeColor="text1" w:themeTint="F2"/>
          <w:sz w:val="24"/>
          <w:szCs w:val="24"/>
        </w:rPr>
        <w:t xml:space="preserve"> mmol/mol</w:t>
      </w:r>
      <w:r w:rsidR="000F7F9C">
        <w:rPr>
          <w:rFonts w:ascii="Times New Roman" w:hAnsi="Times New Roman" w:cs="Times New Roman"/>
          <w:color w:val="0D0D0D" w:themeColor="text1" w:themeTint="F2"/>
          <w:sz w:val="24"/>
          <w:szCs w:val="24"/>
        </w:rPr>
        <w:t>)</w:t>
      </w:r>
      <w:r w:rsidR="00F04D63" w:rsidRPr="00842FE5">
        <w:rPr>
          <w:rFonts w:ascii="Times New Roman" w:hAnsi="Times New Roman" w:cs="Times New Roman"/>
          <w:color w:val="0D0D0D" w:themeColor="text1" w:themeTint="F2"/>
          <w:sz w:val="24"/>
          <w:szCs w:val="24"/>
        </w:rPr>
        <w:t xml:space="preserve">. A total of </w:t>
      </w:r>
      <w:r w:rsidR="00710F24" w:rsidRPr="00842FE5">
        <w:rPr>
          <w:rFonts w:ascii="Times New Roman" w:hAnsi="Times New Roman" w:cs="Times New Roman"/>
          <w:color w:val="0D0D0D" w:themeColor="text1" w:themeTint="F2"/>
          <w:sz w:val="24"/>
          <w:szCs w:val="24"/>
        </w:rPr>
        <w:t>222 (</w:t>
      </w:r>
      <w:r w:rsidR="00F04D63" w:rsidRPr="00842FE5">
        <w:rPr>
          <w:rFonts w:ascii="Times New Roman" w:hAnsi="Times New Roman" w:cs="Times New Roman"/>
          <w:color w:val="0D0D0D" w:themeColor="text1" w:themeTint="F2"/>
          <w:sz w:val="24"/>
          <w:szCs w:val="24"/>
        </w:rPr>
        <w:t>59.7%</w:t>
      </w:r>
      <w:r w:rsidR="00710F24" w:rsidRPr="00842FE5">
        <w:rPr>
          <w:rFonts w:ascii="Times New Roman" w:hAnsi="Times New Roman" w:cs="Times New Roman"/>
          <w:color w:val="0D0D0D" w:themeColor="text1" w:themeTint="F2"/>
          <w:sz w:val="24"/>
          <w:szCs w:val="24"/>
        </w:rPr>
        <w:t>)</w:t>
      </w:r>
      <w:r w:rsidR="00F04D63" w:rsidRPr="00842FE5">
        <w:rPr>
          <w:rFonts w:ascii="Times New Roman" w:hAnsi="Times New Roman" w:cs="Times New Roman"/>
          <w:color w:val="0D0D0D" w:themeColor="text1" w:themeTint="F2"/>
          <w:sz w:val="24"/>
          <w:szCs w:val="24"/>
        </w:rPr>
        <w:t xml:space="preserve"> participants</w:t>
      </w:r>
      <w:r w:rsidR="00A85EAB" w:rsidRPr="00842FE5">
        <w:rPr>
          <w:rFonts w:ascii="Times New Roman" w:hAnsi="Times New Roman" w:cs="Times New Roman"/>
          <w:color w:val="0D0D0D" w:themeColor="text1" w:themeTint="F2"/>
          <w:sz w:val="24"/>
          <w:szCs w:val="24"/>
        </w:rPr>
        <w:t xml:space="preserve"> were using</w:t>
      </w:r>
      <w:r w:rsidR="00F04D63" w:rsidRPr="00842FE5">
        <w:rPr>
          <w:rFonts w:ascii="Times New Roman" w:hAnsi="Times New Roman" w:cs="Times New Roman"/>
          <w:color w:val="0D0D0D" w:themeColor="text1" w:themeTint="F2"/>
          <w:sz w:val="24"/>
          <w:szCs w:val="24"/>
        </w:rPr>
        <w:t xml:space="preserve"> insulin glargine 100 U/mL</w:t>
      </w:r>
      <w:r w:rsidR="00553DF1" w:rsidRPr="00842FE5">
        <w:rPr>
          <w:rFonts w:ascii="Times New Roman" w:hAnsi="Times New Roman" w:cs="Times New Roman"/>
          <w:color w:val="0D0D0D" w:themeColor="text1" w:themeTint="F2"/>
          <w:sz w:val="24"/>
          <w:szCs w:val="24"/>
        </w:rPr>
        <w:t xml:space="preserve"> and </w:t>
      </w:r>
      <w:r w:rsidR="00D614A4" w:rsidRPr="00842FE5">
        <w:rPr>
          <w:rFonts w:ascii="Times New Roman" w:hAnsi="Times New Roman" w:cs="Times New Roman"/>
          <w:color w:val="0D0D0D" w:themeColor="text1" w:themeTint="F2"/>
          <w:sz w:val="24"/>
          <w:szCs w:val="24"/>
        </w:rPr>
        <w:t>107 (</w:t>
      </w:r>
      <w:r w:rsidR="00553DF1" w:rsidRPr="00842FE5">
        <w:rPr>
          <w:rFonts w:ascii="Times New Roman" w:hAnsi="Times New Roman" w:cs="Times New Roman"/>
          <w:color w:val="0D0D0D" w:themeColor="text1" w:themeTint="F2"/>
          <w:sz w:val="24"/>
          <w:szCs w:val="24"/>
        </w:rPr>
        <w:t>28.8%</w:t>
      </w:r>
      <w:r w:rsidR="00D614A4" w:rsidRPr="00842FE5">
        <w:rPr>
          <w:rFonts w:ascii="Times New Roman" w:hAnsi="Times New Roman" w:cs="Times New Roman"/>
          <w:color w:val="0D0D0D" w:themeColor="text1" w:themeTint="F2"/>
          <w:sz w:val="24"/>
          <w:szCs w:val="24"/>
        </w:rPr>
        <w:t>)</w:t>
      </w:r>
      <w:r w:rsidR="00553DF1" w:rsidRPr="00842FE5">
        <w:rPr>
          <w:rFonts w:ascii="Times New Roman" w:hAnsi="Times New Roman" w:cs="Times New Roman"/>
          <w:color w:val="0D0D0D" w:themeColor="text1" w:themeTint="F2"/>
          <w:sz w:val="24"/>
          <w:szCs w:val="24"/>
        </w:rPr>
        <w:t xml:space="preserve"> were using </w:t>
      </w:r>
      <w:r w:rsidR="009D79EA" w:rsidRPr="00842FE5">
        <w:rPr>
          <w:rFonts w:ascii="Times New Roman" w:hAnsi="Times New Roman" w:cs="Times New Roman"/>
          <w:color w:val="0D0D0D" w:themeColor="text1" w:themeTint="F2"/>
          <w:sz w:val="24"/>
          <w:szCs w:val="24"/>
        </w:rPr>
        <w:t>neutral protamine Hage</w:t>
      </w:r>
      <w:r w:rsidR="00AD2D86" w:rsidRPr="00842FE5">
        <w:rPr>
          <w:rFonts w:ascii="Times New Roman" w:hAnsi="Times New Roman" w:cs="Times New Roman"/>
          <w:color w:val="0D0D0D" w:themeColor="text1" w:themeTint="F2"/>
          <w:sz w:val="24"/>
          <w:szCs w:val="24"/>
        </w:rPr>
        <w:t xml:space="preserve">dorn </w:t>
      </w:r>
      <w:r w:rsidR="00553DF1" w:rsidRPr="00842FE5">
        <w:rPr>
          <w:rFonts w:ascii="Times New Roman" w:hAnsi="Times New Roman" w:cs="Times New Roman"/>
          <w:color w:val="0D0D0D" w:themeColor="text1" w:themeTint="F2"/>
          <w:sz w:val="24"/>
          <w:szCs w:val="24"/>
          <w:lang w:val="en-IN"/>
        </w:rPr>
        <w:t>insulin</w:t>
      </w:r>
      <w:r w:rsidR="00F04D63" w:rsidRPr="00842FE5">
        <w:rPr>
          <w:rFonts w:ascii="Times New Roman" w:hAnsi="Times New Roman" w:cs="Times New Roman"/>
          <w:color w:val="0D0D0D" w:themeColor="text1" w:themeTint="F2"/>
          <w:sz w:val="24"/>
          <w:szCs w:val="24"/>
        </w:rPr>
        <w:t xml:space="preserve"> as previous BI. There </w:t>
      </w:r>
      <w:r w:rsidR="00557511" w:rsidRPr="00842FE5">
        <w:rPr>
          <w:rFonts w:ascii="Times New Roman" w:hAnsi="Times New Roman" w:cs="Times New Roman"/>
          <w:color w:val="0D0D0D" w:themeColor="text1" w:themeTint="F2"/>
          <w:sz w:val="24"/>
          <w:szCs w:val="24"/>
        </w:rPr>
        <w:t xml:space="preserve">were </w:t>
      </w:r>
      <w:r w:rsidR="009F49CA" w:rsidRPr="00842FE5">
        <w:rPr>
          <w:rFonts w:ascii="Times New Roman" w:hAnsi="Times New Roman" w:cs="Times New Roman"/>
          <w:color w:val="0D0D0D" w:themeColor="text1" w:themeTint="F2"/>
          <w:sz w:val="24"/>
          <w:szCs w:val="24"/>
        </w:rPr>
        <w:t xml:space="preserve">clinically significant </w:t>
      </w:r>
      <w:r w:rsidR="00557511" w:rsidRPr="00842FE5">
        <w:rPr>
          <w:rFonts w:ascii="Times New Roman" w:hAnsi="Times New Roman" w:cs="Times New Roman"/>
          <w:color w:val="0D0D0D" w:themeColor="text1" w:themeTint="F2"/>
          <w:sz w:val="24"/>
          <w:szCs w:val="24"/>
        </w:rPr>
        <w:t xml:space="preserve">reductions </w:t>
      </w:r>
      <w:r w:rsidR="00F04D63" w:rsidRPr="00842FE5">
        <w:rPr>
          <w:rFonts w:ascii="Times New Roman" w:hAnsi="Times New Roman" w:cs="Times New Roman"/>
          <w:color w:val="0D0D0D" w:themeColor="text1" w:themeTint="F2"/>
          <w:sz w:val="24"/>
          <w:szCs w:val="24"/>
        </w:rPr>
        <w:t xml:space="preserve">in mean </w:t>
      </w:r>
      <w:r w:rsidR="00865251" w:rsidRPr="00842FE5">
        <w:rPr>
          <w:rFonts w:ascii="Times New Roman" w:hAnsi="Times New Roman" w:cs="Times New Roman"/>
          <w:color w:val="0D0D0D" w:themeColor="text1" w:themeTint="F2"/>
          <w:sz w:val="24"/>
          <w:szCs w:val="24"/>
        </w:rPr>
        <w:t>HbA</w:t>
      </w:r>
      <w:r w:rsidR="00865251" w:rsidRPr="00842FE5">
        <w:rPr>
          <w:rFonts w:ascii="Times New Roman" w:hAnsi="Times New Roman" w:cs="Times New Roman"/>
          <w:color w:val="0D0D0D" w:themeColor="text1" w:themeTint="F2"/>
          <w:sz w:val="24"/>
          <w:szCs w:val="24"/>
          <w:vertAlign w:val="subscript"/>
        </w:rPr>
        <w:t>1c</w:t>
      </w:r>
      <w:r w:rsidR="00865251" w:rsidRPr="00842FE5">
        <w:rPr>
          <w:rFonts w:ascii="Times New Roman" w:hAnsi="Times New Roman" w:cs="Times New Roman"/>
          <w:color w:val="0D0D0D" w:themeColor="text1" w:themeTint="F2"/>
          <w:sz w:val="24"/>
          <w:szCs w:val="24"/>
        </w:rPr>
        <w:t xml:space="preserve"> (−0.82%</w:t>
      </w:r>
      <w:r w:rsidR="00591C09" w:rsidRPr="00842FE5">
        <w:rPr>
          <w:rFonts w:ascii="Times New Roman" w:hAnsi="Times New Roman" w:cs="Times New Roman"/>
          <w:color w:val="0D0D0D" w:themeColor="text1" w:themeTint="F2"/>
          <w:sz w:val="24"/>
          <w:szCs w:val="24"/>
        </w:rPr>
        <w:t xml:space="preserve">; </w:t>
      </w:r>
      <w:r w:rsidR="00865251" w:rsidRPr="00842FE5">
        <w:rPr>
          <w:rFonts w:ascii="Times New Roman" w:hAnsi="Times New Roman" w:cs="Times New Roman"/>
          <w:color w:val="0D0D0D" w:themeColor="text1" w:themeTint="F2"/>
          <w:sz w:val="24"/>
          <w:szCs w:val="24"/>
        </w:rPr>
        <w:t>primary endpoint)</w:t>
      </w:r>
      <w:r w:rsidR="00CC1E6E" w:rsidRPr="00842FE5">
        <w:rPr>
          <w:rFonts w:ascii="Times New Roman" w:hAnsi="Times New Roman" w:cs="Times New Roman"/>
          <w:color w:val="0D0D0D" w:themeColor="text1" w:themeTint="F2"/>
          <w:sz w:val="24"/>
          <w:szCs w:val="24"/>
        </w:rPr>
        <w:t xml:space="preserve">, </w:t>
      </w:r>
      <w:r w:rsidR="00F04D63" w:rsidRPr="00842FE5">
        <w:rPr>
          <w:rFonts w:ascii="Times New Roman" w:hAnsi="Times New Roman" w:cs="Times New Roman"/>
          <w:color w:val="0D0D0D" w:themeColor="text1" w:themeTint="F2"/>
          <w:sz w:val="24"/>
          <w:szCs w:val="24"/>
        </w:rPr>
        <w:t>FPG</w:t>
      </w:r>
      <w:r w:rsidR="00591C09" w:rsidRPr="00842FE5">
        <w:rPr>
          <w:rFonts w:ascii="Times New Roman" w:hAnsi="Times New Roman" w:cs="Times New Roman"/>
          <w:color w:val="0D0D0D" w:themeColor="text1" w:themeTint="F2"/>
          <w:sz w:val="24"/>
          <w:szCs w:val="24"/>
        </w:rPr>
        <w:t xml:space="preserve"> </w:t>
      </w:r>
      <w:r w:rsidR="009469DB" w:rsidRPr="00842FE5">
        <w:rPr>
          <w:rFonts w:ascii="Times New Roman" w:hAnsi="Times New Roman" w:cs="Times New Roman"/>
          <w:color w:val="0D0D0D" w:themeColor="text1" w:themeTint="F2"/>
          <w:sz w:val="24"/>
          <w:szCs w:val="24"/>
        </w:rPr>
        <w:t xml:space="preserve">and </w:t>
      </w:r>
      <w:r w:rsidR="002611D1" w:rsidRPr="00842FE5">
        <w:rPr>
          <w:rFonts w:ascii="Times New Roman" w:hAnsi="Times New Roman" w:cs="Times New Roman"/>
          <w:color w:val="0D0D0D" w:themeColor="text1" w:themeTint="F2"/>
          <w:sz w:val="24"/>
          <w:szCs w:val="24"/>
        </w:rPr>
        <w:t>SMPG</w:t>
      </w:r>
      <w:r w:rsidR="00267356" w:rsidRPr="00842FE5">
        <w:rPr>
          <w:rFonts w:ascii="Times New Roman" w:hAnsi="Times New Roman" w:cs="Times New Roman"/>
          <w:color w:val="0D0D0D" w:themeColor="text1" w:themeTint="F2"/>
          <w:sz w:val="24"/>
          <w:szCs w:val="24"/>
        </w:rPr>
        <w:t xml:space="preserve"> </w:t>
      </w:r>
      <w:r w:rsidR="002611D1" w:rsidRPr="00842FE5">
        <w:rPr>
          <w:rFonts w:ascii="Times New Roman" w:hAnsi="Times New Roman" w:cs="Times New Roman"/>
          <w:color w:val="0D0D0D" w:themeColor="text1" w:themeTint="F2"/>
          <w:sz w:val="24"/>
          <w:szCs w:val="24"/>
        </w:rPr>
        <w:t>level</w:t>
      </w:r>
      <w:r w:rsidR="00F04D63" w:rsidRPr="00842FE5">
        <w:rPr>
          <w:rFonts w:ascii="Times New Roman" w:hAnsi="Times New Roman" w:cs="Times New Roman"/>
          <w:color w:val="0D0D0D" w:themeColor="text1" w:themeTint="F2"/>
          <w:sz w:val="24"/>
          <w:szCs w:val="24"/>
        </w:rPr>
        <w:t xml:space="preserve"> at Week 26. </w:t>
      </w:r>
      <w:r w:rsidR="009B3E8D" w:rsidRPr="00842FE5">
        <w:rPr>
          <w:rFonts w:ascii="Times New Roman" w:hAnsi="Times New Roman" w:cs="Times New Roman"/>
          <w:color w:val="0D0D0D" w:themeColor="text1" w:themeTint="F2"/>
          <w:sz w:val="24"/>
          <w:szCs w:val="24"/>
        </w:rPr>
        <w:t>With a pre-defined titration algorithm, Gla-300 dose increased from 27</w:t>
      </w:r>
      <w:r w:rsidR="00087019">
        <w:rPr>
          <w:rFonts w:ascii="Times New Roman" w:hAnsi="Times New Roman" w:cs="Times New Roman"/>
          <w:color w:val="0D0D0D" w:themeColor="text1" w:themeTint="F2"/>
          <w:sz w:val="24"/>
          <w:szCs w:val="24"/>
        </w:rPr>
        <w:t>.4</w:t>
      </w:r>
      <w:r w:rsidR="00031893">
        <w:rPr>
          <w:rFonts w:ascii="Times New Roman" w:hAnsi="Times New Roman" w:cs="Times New Roman"/>
          <w:color w:val="0D0D0D" w:themeColor="text1" w:themeTint="F2"/>
          <w:sz w:val="24"/>
          <w:szCs w:val="24"/>
        </w:rPr>
        <w:t>8</w:t>
      </w:r>
      <w:r w:rsidR="009B3E8D" w:rsidRPr="00842FE5">
        <w:rPr>
          <w:rFonts w:ascii="Times New Roman" w:hAnsi="Times New Roman" w:cs="Times New Roman"/>
          <w:color w:val="0D0D0D" w:themeColor="text1" w:themeTint="F2"/>
          <w:sz w:val="24"/>
          <w:szCs w:val="24"/>
        </w:rPr>
        <w:t xml:space="preserve"> </w:t>
      </w:r>
      <w:r w:rsidR="00FD50A4" w:rsidRPr="00842FE5">
        <w:rPr>
          <w:rFonts w:ascii="Times New Roman" w:hAnsi="Times New Roman" w:cs="Times New Roman"/>
          <w:color w:val="0D0D0D" w:themeColor="text1" w:themeTint="F2"/>
          <w:sz w:val="24"/>
          <w:szCs w:val="24"/>
        </w:rPr>
        <w:t>U</w:t>
      </w:r>
      <w:r w:rsidR="009B3E8D" w:rsidRPr="00842FE5">
        <w:rPr>
          <w:rFonts w:ascii="Times New Roman" w:hAnsi="Times New Roman" w:cs="Times New Roman"/>
          <w:color w:val="0D0D0D" w:themeColor="text1" w:themeTint="F2"/>
          <w:sz w:val="24"/>
          <w:szCs w:val="24"/>
        </w:rPr>
        <w:t xml:space="preserve"> </w:t>
      </w:r>
      <w:r w:rsidR="00355ACF" w:rsidRPr="00842FE5">
        <w:rPr>
          <w:rFonts w:ascii="Times New Roman" w:hAnsi="Times New Roman" w:cs="Times New Roman"/>
          <w:color w:val="0D0D0D" w:themeColor="text1" w:themeTint="F2"/>
          <w:sz w:val="24"/>
          <w:szCs w:val="24"/>
        </w:rPr>
        <w:t>(0.3</w:t>
      </w:r>
      <w:r w:rsidR="00B557F9" w:rsidRPr="00842FE5">
        <w:rPr>
          <w:rFonts w:ascii="Times New Roman" w:hAnsi="Times New Roman" w:cs="Times New Roman"/>
          <w:color w:val="0D0D0D" w:themeColor="text1" w:themeTint="F2"/>
          <w:sz w:val="24"/>
          <w:szCs w:val="24"/>
        </w:rPr>
        <w:t>5</w:t>
      </w:r>
      <w:r w:rsidR="00355ACF" w:rsidRPr="00842FE5">
        <w:rPr>
          <w:rFonts w:ascii="Times New Roman" w:hAnsi="Times New Roman" w:cs="Times New Roman"/>
          <w:color w:val="0D0D0D" w:themeColor="text1" w:themeTint="F2"/>
          <w:sz w:val="24"/>
          <w:szCs w:val="24"/>
        </w:rPr>
        <w:t xml:space="preserve"> U/kg) </w:t>
      </w:r>
      <w:r w:rsidR="009B3E8D" w:rsidRPr="00842FE5">
        <w:rPr>
          <w:rFonts w:ascii="Times New Roman" w:hAnsi="Times New Roman" w:cs="Times New Roman"/>
          <w:color w:val="0D0D0D" w:themeColor="text1" w:themeTint="F2"/>
          <w:sz w:val="24"/>
          <w:szCs w:val="24"/>
        </w:rPr>
        <w:t>at baseline to 39</w:t>
      </w:r>
      <w:r w:rsidR="00047213">
        <w:rPr>
          <w:rFonts w:ascii="Times New Roman" w:hAnsi="Times New Roman" w:cs="Times New Roman"/>
          <w:color w:val="0D0D0D" w:themeColor="text1" w:themeTint="F2"/>
          <w:sz w:val="24"/>
          <w:szCs w:val="24"/>
        </w:rPr>
        <w:t>.</w:t>
      </w:r>
      <w:r w:rsidR="00047213" w:rsidRPr="00087019">
        <w:rPr>
          <w:rFonts w:ascii="Times New Roman" w:hAnsi="Times New Roman" w:cs="Times New Roman"/>
          <w:color w:val="0D0D0D" w:themeColor="text1" w:themeTint="F2"/>
          <w:sz w:val="24"/>
          <w:szCs w:val="24"/>
        </w:rPr>
        <w:t>0</w:t>
      </w:r>
      <w:r w:rsidR="00EA23FE">
        <w:rPr>
          <w:rFonts w:ascii="Times New Roman" w:hAnsi="Times New Roman" w:cs="Times New Roman"/>
          <w:color w:val="0D0D0D" w:themeColor="text1" w:themeTint="F2"/>
          <w:sz w:val="24"/>
          <w:szCs w:val="24"/>
        </w:rPr>
        <w:t>1</w:t>
      </w:r>
      <w:r w:rsidR="009B3E8D" w:rsidRPr="00842FE5">
        <w:rPr>
          <w:rFonts w:ascii="Times New Roman" w:hAnsi="Times New Roman" w:cs="Times New Roman"/>
          <w:color w:val="0D0D0D" w:themeColor="text1" w:themeTint="F2"/>
          <w:sz w:val="24"/>
          <w:szCs w:val="24"/>
        </w:rPr>
        <w:t xml:space="preserve"> </w:t>
      </w:r>
      <w:r w:rsidR="00FD50A4" w:rsidRPr="00842FE5">
        <w:rPr>
          <w:rFonts w:ascii="Times New Roman" w:hAnsi="Times New Roman" w:cs="Times New Roman"/>
          <w:color w:val="0D0D0D" w:themeColor="text1" w:themeTint="F2"/>
          <w:sz w:val="24"/>
          <w:szCs w:val="24"/>
        </w:rPr>
        <w:t>U</w:t>
      </w:r>
      <w:r w:rsidR="0069097F" w:rsidRPr="00842FE5">
        <w:rPr>
          <w:rFonts w:ascii="Times New Roman" w:hAnsi="Times New Roman" w:cs="Times New Roman"/>
          <w:color w:val="0D0D0D" w:themeColor="text1" w:themeTint="F2"/>
          <w:sz w:val="24"/>
          <w:szCs w:val="24"/>
        </w:rPr>
        <w:t xml:space="preserve"> </w:t>
      </w:r>
      <w:r w:rsidR="00355ACF" w:rsidRPr="00842FE5">
        <w:rPr>
          <w:rFonts w:ascii="Times New Roman" w:hAnsi="Times New Roman" w:cs="Times New Roman"/>
          <w:color w:val="0D0D0D" w:themeColor="text1" w:themeTint="F2"/>
          <w:sz w:val="24"/>
          <w:szCs w:val="24"/>
        </w:rPr>
        <w:t>(0.5</w:t>
      </w:r>
      <w:r w:rsidR="00047213">
        <w:rPr>
          <w:rFonts w:ascii="Times New Roman" w:hAnsi="Times New Roman" w:cs="Times New Roman"/>
          <w:color w:val="0D0D0D" w:themeColor="text1" w:themeTint="F2"/>
          <w:sz w:val="24"/>
          <w:szCs w:val="24"/>
        </w:rPr>
        <w:t>0</w:t>
      </w:r>
      <w:r w:rsidR="00355ACF" w:rsidRPr="00842FE5">
        <w:rPr>
          <w:rFonts w:ascii="Times New Roman" w:hAnsi="Times New Roman" w:cs="Times New Roman"/>
          <w:color w:val="0D0D0D" w:themeColor="text1" w:themeTint="F2"/>
          <w:sz w:val="24"/>
          <w:szCs w:val="24"/>
        </w:rPr>
        <w:t xml:space="preserve"> U/kg) </w:t>
      </w:r>
      <w:r w:rsidR="009B3E8D" w:rsidRPr="00842FE5">
        <w:rPr>
          <w:rFonts w:ascii="Times New Roman" w:hAnsi="Times New Roman" w:cs="Times New Roman"/>
          <w:color w:val="0D0D0D" w:themeColor="text1" w:themeTint="F2"/>
          <w:sz w:val="24"/>
          <w:szCs w:val="24"/>
        </w:rPr>
        <w:t>at Week 26</w:t>
      </w:r>
      <w:r w:rsidR="00962162" w:rsidRPr="00842FE5">
        <w:rPr>
          <w:rFonts w:ascii="Times New Roman" w:hAnsi="Times New Roman" w:cs="Times New Roman"/>
          <w:color w:val="0D0D0D" w:themeColor="text1" w:themeTint="F2"/>
          <w:sz w:val="24"/>
          <w:szCs w:val="24"/>
        </w:rPr>
        <w:t xml:space="preserve">. Hypoglycaemia events occurred in 20.4% of the </w:t>
      </w:r>
      <w:r w:rsidR="000E7E55" w:rsidRPr="00842FE5">
        <w:rPr>
          <w:rFonts w:ascii="Times New Roman" w:hAnsi="Times New Roman" w:cs="Times New Roman"/>
          <w:color w:val="0D0D0D" w:themeColor="text1" w:themeTint="F2"/>
          <w:sz w:val="24"/>
          <w:szCs w:val="24"/>
        </w:rPr>
        <w:t>participants</w:t>
      </w:r>
      <w:r w:rsidR="00962162" w:rsidRPr="00842FE5">
        <w:rPr>
          <w:rFonts w:ascii="Times New Roman" w:hAnsi="Times New Roman" w:cs="Times New Roman"/>
          <w:color w:val="0D0D0D" w:themeColor="text1" w:themeTint="F2"/>
          <w:sz w:val="24"/>
          <w:szCs w:val="24"/>
        </w:rPr>
        <w:t xml:space="preserve">; </w:t>
      </w:r>
      <w:r w:rsidR="00F46827" w:rsidRPr="00842FE5">
        <w:rPr>
          <w:rFonts w:ascii="Times New Roman" w:hAnsi="Times New Roman" w:cs="Times New Roman"/>
          <w:color w:val="0D0D0D" w:themeColor="text1" w:themeTint="F2"/>
          <w:sz w:val="24"/>
          <w:szCs w:val="24"/>
        </w:rPr>
        <w:t>1</w:t>
      </w:r>
      <w:r w:rsidR="00D038FC" w:rsidRPr="00842FE5">
        <w:rPr>
          <w:rFonts w:ascii="Times New Roman" w:hAnsi="Times New Roman" w:cs="Times New Roman"/>
          <w:color w:val="0D0D0D" w:themeColor="text1" w:themeTint="F2"/>
          <w:sz w:val="24"/>
          <w:szCs w:val="24"/>
        </w:rPr>
        <w:t xml:space="preserve"> (0.3%) </w:t>
      </w:r>
      <w:r w:rsidR="00FA1B7E" w:rsidRPr="00842FE5">
        <w:rPr>
          <w:rFonts w:ascii="Times New Roman" w:hAnsi="Times New Roman" w:cs="Times New Roman"/>
          <w:color w:val="0D0D0D" w:themeColor="text1" w:themeTint="F2"/>
          <w:sz w:val="24"/>
          <w:szCs w:val="24"/>
        </w:rPr>
        <w:t xml:space="preserve">participant </w:t>
      </w:r>
      <w:r w:rsidR="00D038FC" w:rsidRPr="00842FE5">
        <w:rPr>
          <w:rFonts w:ascii="Times New Roman" w:hAnsi="Times New Roman" w:cs="Times New Roman"/>
          <w:color w:val="0D0D0D" w:themeColor="text1" w:themeTint="F2"/>
          <w:sz w:val="24"/>
          <w:szCs w:val="24"/>
        </w:rPr>
        <w:t xml:space="preserve">had </w:t>
      </w:r>
      <w:r w:rsidR="00FA1B7E" w:rsidRPr="00842FE5">
        <w:rPr>
          <w:rFonts w:ascii="Times New Roman" w:hAnsi="Times New Roman" w:cs="Times New Roman"/>
          <w:color w:val="0D0D0D" w:themeColor="text1" w:themeTint="F2"/>
          <w:sz w:val="24"/>
          <w:szCs w:val="24"/>
        </w:rPr>
        <w:t xml:space="preserve">a </w:t>
      </w:r>
      <w:r w:rsidR="00962162" w:rsidRPr="00842FE5">
        <w:rPr>
          <w:rFonts w:ascii="Times New Roman" w:hAnsi="Times New Roman" w:cs="Times New Roman"/>
          <w:color w:val="0D0D0D" w:themeColor="text1" w:themeTint="F2"/>
          <w:sz w:val="24"/>
          <w:szCs w:val="24"/>
        </w:rPr>
        <w:t xml:space="preserve">severe </w:t>
      </w:r>
      <w:r w:rsidR="005006F1" w:rsidRPr="00842FE5">
        <w:rPr>
          <w:rFonts w:ascii="Times New Roman" w:hAnsi="Times New Roman" w:cs="Times New Roman"/>
          <w:color w:val="0D0D0D" w:themeColor="text1" w:themeTint="F2"/>
          <w:sz w:val="24"/>
          <w:szCs w:val="24"/>
        </w:rPr>
        <w:t>hypoglycaemia</w:t>
      </w:r>
      <w:r w:rsidR="00FA1B7E" w:rsidRPr="00842FE5">
        <w:rPr>
          <w:rFonts w:ascii="Times New Roman" w:hAnsi="Times New Roman" w:cs="Times New Roman"/>
          <w:color w:val="0D0D0D" w:themeColor="text1" w:themeTint="F2"/>
          <w:sz w:val="24"/>
          <w:szCs w:val="24"/>
        </w:rPr>
        <w:t xml:space="preserve"> event</w:t>
      </w:r>
      <w:r w:rsidR="00962162" w:rsidRPr="00842FE5">
        <w:rPr>
          <w:rFonts w:ascii="Times New Roman" w:hAnsi="Times New Roman" w:cs="Times New Roman"/>
          <w:color w:val="0D0D0D" w:themeColor="text1" w:themeTint="F2"/>
          <w:sz w:val="24"/>
          <w:szCs w:val="24"/>
        </w:rPr>
        <w:t>.</w:t>
      </w:r>
    </w:p>
    <w:p w14:paraId="7B855429" w14:textId="27D1FE97" w:rsidR="005F7D9E" w:rsidRPr="00842FE5" w:rsidRDefault="0058464E" w:rsidP="003858C4">
      <w:pPr>
        <w:spacing w:line="480" w:lineRule="auto"/>
        <w:rPr>
          <w:rFonts w:ascii="Times New Roman" w:hAnsi="Times New Roman" w:cs="Times New Roman"/>
          <w:color w:val="0D0D0D" w:themeColor="text1" w:themeTint="F2"/>
          <w:sz w:val="24"/>
          <w:szCs w:val="24"/>
        </w:rPr>
      </w:pPr>
      <w:r w:rsidRPr="00842FE5">
        <w:rPr>
          <w:rFonts w:ascii="Times New Roman" w:hAnsi="Times New Roman" w:cs="Times New Roman"/>
          <w:b/>
          <w:bCs/>
          <w:color w:val="0D0D0D" w:themeColor="text1" w:themeTint="F2"/>
          <w:sz w:val="24"/>
          <w:szCs w:val="24"/>
        </w:rPr>
        <w:t>Conclusion</w:t>
      </w:r>
      <w:r w:rsidR="000470E3" w:rsidRPr="00842FE5">
        <w:rPr>
          <w:rFonts w:ascii="Times New Roman" w:hAnsi="Times New Roman" w:cs="Times New Roman"/>
          <w:b/>
          <w:bCs/>
          <w:color w:val="0D0D0D" w:themeColor="text1" w:themeTint="F2"/>
          <w:sz w:val="24"/>
          <w:szCs w:val="24"/>
        </w:rPr>
        <w:t xml:space="preserve">: </w:t>
      </w:r>
      <w:r w:rsidR="005F7D9E" w:rsidRPr="00842FE5">
        <w:rPr>
          <w:rFonts w:ascii="Times New Roman" w:hAnsi="Times New Roman" w:cs="Times New Roman"/>
          <w:color w:val="0D0D0D" w:themeColor="text1" w:themeTint="F2"/>
          <w:sz w:val="24"/>
          <w:szCs w:val="24"/>
        </w:rPr>
        <w:t>In people with T2D</w:t>
      </w:r>
      <w:r w:rsidR="00F238D3" w:rsidRPr="00842FE5">
        <w:rPr>
          <w:rFonts w:ascii="Times New Roman" w:hAnsi="Times New Roman" w:cs="Times New Roman"/>
          <w:color w:val="0D0D0D" w:themeColor="text1" w:themeTint="F2"/>
          <w:sz w:val="24"/>
          <w:szCs w:val="24"/>
        </w:rPr>
        <w:t>M</w:t>
      </w:r>
      <w:r w:rsidR="005F7D9E" w:rsidRPr="00842FE5">
        <w:rPr>
          <w:rFonts w:ascii="Times New Roman" w:hAnsi="Times New Roman" w:cs="Times New Roman"/>
          <w:color w:val="0D0D0D" w:themeColor="text1" w:themeTint="F2"/>
          <w:sz w:val="24"/>
          <w:szCs w:val="24"/>
        </w:rPr>
        <w:t xml:space="preserve"> uncontrolled on previous BI, switching to Gla-300 with optimal titration</w:t>
      </w:r>
      <w:r w:rsidR="00FF14D0" w:rsidRPr="00842FE5">
        <w:rPr>
          <w:rFonts w:ascii="Times New Roman" w:hAnsi="Times New Roman" w:cs="Times New Roman"/>
          <w:color w:val="0D0D0D" w:themeColor="text1" w:themeTint="F2"/>
          <w:sz w:val="24"/>
          <w:szCs w:val="24"/>
        </w:rPr>
        <w:t xml:space="preserve"> </w:t>
      </w:r>
      <w:r w:rsidR="000427EF" w:rsidRPr="00842FE5">
        <w:rPr>
          <w:rFonts w:ascii="Times New Roman" w:hAnsi="Times New Roman" w:cs="Times New Roman"/>
          <w:color w:val="0D0D0D" w:themeColor="text1" w:themeTint="F2"/>
          <w:sz w:val="24"/>
          <w:szCs w:val="24"/>
        </w:rPr>
        <w:t>guided by an</w:t>
      </w:r>
      <w:r w:rsidR="00FF14D0" w:rsidRPr="00842FE5">
        <w:rPr>
          <w:rFonts w:ascii="Times New Roman" w:hAnsi="Times New Roman" w:cs="Times New Roman"/>
          <w:color w:val="0D0D0D" w:themeColor="text1" w:themeTint="F2"/>
          <w:sz w:val="24"/>
          <w:szCs w:val="24"/>
        </w:rPr>
        <w:t xml:space="preserve"> algorithm,</w:t>
      </w:r>
      <w:r w:rsidR="000427EF" w:rsidRPr="00842FE5">
        <w:rPr>
          <w:rFonts w:ascii="Times New Roman" w:hAnsi="Times New Roman" w:cs="Times New Roman"/>
          <w:color w:val="0D0D0D" w:themeColor="text1" w:themeTint="F2"/>
          <w:sz w:val="24"/>
          <w:szCs w:val="24"/>
        </w:rPr>
        <w:t xml:space="preserve"> </w:t>
      </w:r>
      <w:r w:rsidR="005F7D9E" w:rsidRPr="00842FE5">
        <w:rPr>
          <w:rFonts w:ascii="Times New Roman" w:hAnsi="Times New Roman" w:cs="Times New Roman"/>
          <w:color w:val="0D0D0D" w:themeColor="text1" w:themeTint="F2"/>
          <w:sz w:val="24"/>
          <w:szCs w:val="24"/>
        </w:rPr>
        <w:t>was associated with improved glyc</w:t>
      </w:r>
      <w:r w:rsidR="005301C4" w:rsidRPr="00842FE5">
        <w:rPr>
          <w:rFonts w:ascii="Times New Roman" w:hAnsi="Times New Roman" w:cs="Times New Roman"/>
          <w:color w:val="0D0D0D" w:themeColor="text1" w:themeTint="F2"/>
          <w:sz w:val="24"/>
          <w:szCs w:val="24"/>
        </w:rPr>
        <w:t>a</w:t>
      </w:r>
      <w:r w:rsidR="005F7D9E" w:rsidRPr="00842FE5">
        <w:rPr>
          <w:rFonts w:ascii="Times New Roman" w:hAnsi="Times New Roman" w:cs="Times New Roman"/>
          <w:color w:val="0D0D0D" w:themeColor="text1" w:themeTint="F2"/>
          <w:sz w:val="24"/>
          <w:szCs w:val="24"/>
        </w:rPr>
        <w:t>emic control and low incidence of hypoglyc</w:t>
      </w:r>
      <w:r w:rsidR="005301C4" w:rsidRPr="00842FE5">
        <w:rPr>
          <w:rFonts w:ascii="Times New Roman" w:hAnsi="Times New Roman" w:cs="Times New Roman"/>
          <w:color w:val="0D0D0D" w:themeColor="text1" w:themeTint="F2"/>
          <w:sz w:val="24"/>
          <w:szCs w:val="24"/>
        </w:rPr>
        <w:t>a</w:t>
      </w:r>
      <w:r w:rsidR="005F7D9E" w:rsidRPr="00842FE5">
        <w:rPr>
          <w:rFonts w:ascii="Times New Roman" w:hAnsi="Times New Roman" w:cs="Times New Roman"/>
          <w:color w:val="0D0D0D" w:themeColor="text1" w:themeTint="F2"/>
          <w:sz w:val="24"/>
          <w:szCs w:val="24"/>
        </w:rPr>
        <w:t>emia</w:t>
      </w:r>
      <w:r w:rsidR="00A4579F" w:rsidRPr="00842FE5">
        <w:rPr>
          <w:rFonts w:ascii="Times New Roman" w:hAnsi="Times New Roman" w:cs="Times New Roman"/>
          <w:color w:val="0D0D0D" w:themeColor="text1" w:themeTint="F2"/>
          <w:sz w:val="24"/>
          <w:szCs w:val="24"/>
        </w:rPr>
        <w:t xml:space="preserve"> across</w:t>
      </w:r>
      <w:r w:rsidR="00A727E3" w:rsidRPr="00842FE5">
        <w:rPr>
          <w:rFonts w:ascii="Times New Roman" w:hAnsi="Times New Roman" w:cs="Times New Roman"/>
          <w:color w:val="0D0D0D" w:themeColor="text1" w:themeTint="F2"/>
          <w:sz w:val="24"/>
          <w:szCs w:val="24"/>
        </w:rPr>
        <w:t xml:space="preserve"> multiple geographic </w:t>
      </w:r>
      <w:r w:rsidR="00A4579F" w:rsidRPr="00842FE5">
        <w:rPr>
          <w:rFonts w:ascii="Times New Roman" w:hAnsi="Times New Roman" w:cs="Times New Roman"/>
          <w:color w:val="0D0D0D" w:themeColor="text1" w:themeTint="F2"/>
          <w:sz w:val="24"/>
          <w:szCs w:val="24"/>
        </w:rPr>
        <w:t>regions</w:t>
      </w:r>
      <w:r w:rsidR="005F7D9E" w:rsidRPr="00842FE5">
        <w:rPr>
          <w:rFonts w:ascii="Times New Roman" w:hAnsi="Times New Roman" w:cs="Times New Roman"/>
          <w:color w:val="0D0D0D" w:themeColor="text1" w:themeTint="F2"/>
          <w:sz w:val="24"/>
          <w:szCs w:val="24"/>
        </w:rPr>
        <w:t>.</w:t>
      </w:r>
    </w:p>
    <w:p w14:paraId="11F1DDD8" w14:textId="353C077F" w:rsidR="00617185" w:rsidRPr="00842FE5" w:rsidRDefault="00CB3DF1" w:rsidP="003858C4">
      <w:pPr>
        <w:spacing w:line="480" w:lineRule="auto"/>
        <w:rPr>
          <w:rFonts w:ascii="Times New Roman" w:hAnsi="Times New Roman" w:cs="Times New Roman"/>
          <w:color w:val="0D0D0D" w:themeColor="text1" w:themeTint="F2"/>
          <w:sz w:val="24"/>
          <w:szCs w:val="24"/>
        </w:rPr>
      </w:pPr>
      <w:r w:rsidRPr="00CB3DF1">
        <w:rPr>
          <w:rFonts w:ascii="Times New Roman" w:hAnsi="Times New Roman" w:cs="Times New Roman"/>
          <w:b/>
          <w:bCs/>
          <w:color w:val="0D0D0D" w:themeColor="text1" w:themeTint="F2"/>
          <w:sz w:val="24"/>
          <w:szCs w:val="24"/>
        </w:rPr>
        <w:t>ClinicalTrials.gov identifier</w:t>
      </w:r>
      <w:r w:rsidR="0065358B" w:rsidRPr="00842FE5">
        <w:rPr>
          <w:rFonts w:ascii="Times New Roman" w:hAnsi="Times New Roman" w:cs="Times New Roman"/>
          <w:b/>
          <w:bCs/>
          <w:color w:val="0D0D0D" w:themeColor="text1" w:themeTint="F2"/>
          <w:sz w:val="24"/>
          <w:szCs w:val="24"/>
        </w:rPr>
        <w:t>:</w:t>
      </w:r>
      <w:r w:rsidR="005630D6" w:rsidRPr="00842FE5">
        <w:rPr>
          <w:rFonts w:ascii="Times New Roman" w:hAnsi="Times New Roman" w:cs="Times New Roman"/>
          <w:color w:val="0D0D0D" w:themeColor="text1" w:themeTint="F2"/>
          <w:sz w:val="24"/>
          <w:szCs w:val="24"/>
        </w:rPr>
        <w:t xml:space="preserve"> NCT03760991</w:t>
      </w:r>
    </w:p>
    <w:p w14:paraId="123911C6" w14:textId="2F3EBAFF" w:rsidR="00A34146" w:rsidRPr="00842FE5" w:rsidRDefault="0058464E" w:rsidP="003858C4">
      <w:pPr>
        <w:spacing w:line="480" w:lineRule="auto"/>
        <w:rPr>
          <w:rFonts w:ascii="Times New Roman" w:hAnsi="Times New Roman" w:cs="Times New Roman"/>
          <w:b/>
          <w:bCs/>
          <w:color w:val="0D0D0D" w:themeColor="text1" w:themeTint="F2"/>
          <w:sz w:val="24"/>
          <w:szCs w:val="24"/>
        </w:rPr>
      </w:pPr>
      <w:r w:rsidRPr="00842FE5">
        <w:rPr>
          <w:rFonts w:ascii="Times New Roman" w:hAnsi="Times New Roman" w:cs="Times New Roman"/>
          <w:b/>
          <w:bCs/>
          <w:color w:val="0D0D0D" w:themeColor="text1" w:themeTint="F2"/>
          <w:sz w:val="24"/>
          <w:szCs w:val="24"/>
        </w:rPr>
        <w:lastRenderedPageBreak/>
        <w:t>Keywords</w:t>
      </w:r>
      <w:r w:rsidR="00060CED" w:rsidRPr="00842FE5">
        <w:rPr>
          <w:rFonts w:ascii="Times New Roman" w:hAnsi="Times New Roman" w:cs="Times New Roman"/>
          <w:b/>
          <w:bCs/>
          <w:color w:val="0D0D0D" w:themeColor="text1" w:themeTint="F2"/>
          <w:sz w:val="24"/>
          <w:szCs w:val="24"/>
        </w:rPr>
        <w:t xml:space="preserve">: </w:t>
      </w:r>
    </w:p>
    <w:p w14:paraId="2AB28042" w14:textId="315E2C9E" w:rsidR="00060CED" w:rsidRPr="00842FE5" w:rsidRDefault="00CD593B" w:rsidP="003858C4">
      <w:pPr>
        <w:spacing w:line="480" w:lineRule="auto"/>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Basal insulin, glycaemic control, hypoglycaemia,</w:t>
      </w:r>
      <w:r w:rsidRPr="00842FE5" w:rsidDel="00CD593B">
        <w:rPr>
          <w:rFonts w:ascii="Times New Roman" w:hAnsi="Times New Roman" w:cs="Times New Roman"/>
          <w:color w:val="0D0D0D" w:themeColor="text1" w:themeTint="F2"/>
          <w:sz w:val="24"/>
          <w:szCs w:val="24"/>
        </w:rPr>
        <w:t xml:space="preserve"> </w:t>
      </w:r>
      <w:r w:rsidRPr="00842FE5">
        <w:rPr>
          <w:rFonts w:ascii="Times New Roman" w:hAnsi="Times New Roman" w:cs="Times New Roman"/>
          <w:color w:val="0D0D0D" w:themeColor="text1" w:themeTint="F2"/>
          <w:sz w:val="24"/>
          <w:szCs w:val="24"/>
        </w:rPr>
        <w:t>i</w:t>
      </w:r>
      <w:r w:rsidR="00060CED" w:rsidRPr="00842FE5">
        <w:rPr>
          <w:rFonts w:ascii="Times New Roman" w:hAnsi="Times New Roman" w:cs="Times New Roman"/>
          <w:color w:val="0D0D0D" w:themeColor="text1" w:themeTint="F2"/>
          <w:sz w:val="24"/>
          <w:szCs w:val="24"/>
        </w:rPr>
        <w:t>nsulin glargine 300 U/mL,</w:t>
      </w:r>
      <w:r w:rsidR="00962162" w:rsidRPr="00842FE5">
        <w:rPr>
          <w:rFonts w:ascii="Times New Roman" w:hAnsi="Times New Roman" w:cs="Times New Roman"/>
          <w:color w:val="0D0D0D" w:themeColor="text1" w:themeTint="F2"/>
          <w:sz w:val="24"/>
          <w:szCs w:val="24"/>
        </w:rPr>
        <w:t xml:space="preserve"> </w:t>
      </w:r>
      <w:r w:rsidR="00060CED" w:rsidRPr="00842FE5">
        <w:rPr>
          <w:rFonts w:ascii="Times New Roman" w:hAnsi="Times New Roman" w:cs="Times New Roman"/>
          <w:color w:val="0D0D0D" w:themeColor="text1" w:themeTint="F2"/>
          <w:sz w:val="24"/>
          <w:szCs w:val="24"/>
        </w:rPr>
        <w:t xml:space="preserve">type 2 diabetes mellitus </w:t>
      </w:r>
    </w:p>
    <w:p w14:paraId="1D766B5B" w14:textId="4835785B" w:rsidR="0058464E" w:rsidRPr="00842FE5" w:rsidRDefault="00D7632E" w:rsidP="00E06140">
      <w:pPr>
        <w:rPr>
          <w:rFonts w:ascii="Times New Roman" w:hAnsi="Times New Roman" w:cs="Times New Roman"/>
          <w:b/>
          <w:bCs/>
          <w:color w:val="0D0D0D" w:themeColor="text1" w:themeTint="F2"/>
          <w:sz w:val="24"/>
          <w:szCs w:val="24"/>
        </w:rPr>
      </w:pPr>
      <w:r w:rsidRPr="00842FE5">
        <w:rPr>
          <w:rFonts w:ascii="Times New Roman" w:hAnsi="Times New Roman" w:cs="Times New Roman"/>
          <w:b/>
          <w:bCs/>
          <w:color w:val="0D0D0D" w:themeColor="text1" w:themeTint="F2"/>
          <w:sz w:val="24"/>
          <w:szCs w:val="24"/>
        </w:rPr>
        <w:br w:type="page"/>
      </w:r>
      <w:r w:rsidR="00D10DB4" w:rsidRPr="00842FE5">
        <w:rPr>
          <w:rFonts w:ascii="Times New Roman" w:hAnsi="Times New Roman" w:cs="Times New Roman"/>
          <w:b/>
          <w:bCs/>
          <w:color w:val="0D0D0D" w:themeColor="text1" w:themeTint="F2"/>
          <w:sz w:val="24"/>
          <w:szCs w:val="24"/>
        </w:rPr>
        <w:lastRenderedPageBreak/>
        <w:t>Key Summary Points</w:t>
      </w:r>
    </w:p>
    <w:p w14:paraId="383155A6" w14:textId="414A3AF5" w:rsidR="00D10DB4" w:rsidRPr="00842FE5" w:rsidRDefault="00D10DB4" w:rsidP="003858C4">
      <w:pPr>
        <w:spacing w:line="480" w:lineRule="auto"/>
        <w:rPr>
          <w:rFonts w:ascii="Times New Roman" w:hAnsi="Times New Roman" w:cs="Times New Roman"/>
          <w:b/>
          <w:bCs/>
          <w:color w:val="0D0D0D" w:themeColor="text1" w:themeTint="F2"/>
          <w:sz w:val="24"/>
          <w:szCs w:val="24"/>
        </w:rPr>
      </w:pPr>
      <w:r w:rsidRPr="00842FE5">
        <w:rPr>
          <w:rFonts w:ascii="Times New Roman" w:hAnsi="Times New Roman" w:cs="Times New Roman"/>
          <w:b/>
          <w:bCs/>
          <w:color w:val="0D0D0D" w:themeColor="text1" w:themeTint="F2"/>
          <w:sz w:val="24"/>
          <w:szCs w:val="24"/>
        </w:rPr>
        <w:t>Why carry out this study?</w:t>
      </w:r>
    </w:p>
    <w:p w14:paraId="57C4931B" w14:textId="2C00F350" w:rsidR="00D10DB4" w:rsidRPr="00842FE5" w:rsidRDefault="00D10DB4" w:rsidP="00776A83">
      <w:pPr>
        <w:pStyle w:val="ListParagraph"/>
        <w:numPr>
          <w:ilvl w:val="0"/>
          <w:numId w:val="24"/>
        </w:numPr>
        <w:spacing w:line="480" w:lineRule="auto"/>
        <w:rPr>
          <w:rFonts w:ascii="Times New Roman" w:hAnsi="Times New Roman" w:cs="Times New Roman"/>
          <w:b/>
          <w:bCs/>
          <w:color w:val="0D0D0D" w:themeColor="text1" w:themeTint="F2"/>
          <w:sz w:val="24"/>
          <w:szCs w:val="24"/>
        </w:rPr>
      </w:pPr>
      <w:r w:rsidRPr="00842FE5">
        <w:rPr>
          <w:rFonts w:ascii="Times New Roman" w:hAnsi="Times New Roman" w:cs="Times New Roman"/>
          <w:color w:val="0D0D0D" w:themeColor="text1" w:themeTint="F2"/>
          <w:sz w:val="24"/>
          <w:szCs w:val="24"/>
        </w:rPr>
        <w:t xml:space="preserve">Diabetes </w:t>
      </w:r>
      <w:r w:rsidR="001C57BF" w:rsidRPr="00842FE5">
        <w:rPr>
          <w:rFonts w:ascii="Times New Roman" w:hAnsi="Times New Roman" w:cs="Times New Roman"/>
          <w:color w:val="0D0D0D" w:themeColor="text1" w:themeTint="F2"/>
          <w:sz w:val="24"/>
          <w:szCs w:val="24"/>
        </w:rPr>
        <w:t>has become a global health challenge and the prevalence of diabetes has been rising more rapidly in low- and middle-income countries than in high-income countries</w:t>
      </w:r>
      <w:r w:rsidR="002027A0" w:rsidRPr="00842FE5">
        <w:rPr>
          <w:rFonts w:ascii="Times New Roman" w:hAnsi="Times New Roman" w:cs="Times New Roman"/>
          <w:color w:val="0D0D0D" w:themeColor="text1" w:themeTint="F2"/>
          <w:sz w:val="24"/>
          <w:szCs w:val="24"/>
        </w:rPr>
        <w:t>.</w:t>
      </w:r>
      <w:r w:rsidR="001C57BF" w:rsidRPr="00842FE5" w:rsidDel="001C57BF">
        <w:rPr>
          <w:rFonts w:ascii="Times New Roman" w:hAnsi="Times New Roman" w:cs="Times New Roman"/>
          <w:color w:val="0D0D0D" w:themeColor="text1" w:themeTint="F2"/>
          <w:sz w:val="24"/>
          <w:szCs w:val="24"/>
        </w:rPr>
        <w:t xml:space="preserve"> </w:t>
      </w:r>
    </w:p>
    <w:p w14:paraId="42D20BD3" w14:textId="43C24C9E" w:rsidR="00DB0FA4" w:rsidRPr="00842FE5" w:rsidRDefault="003C6356" w:rsidP="00776A83">
      <w:pPr>
        <w:pStyle w:val="ListParagraph"/>
        <w:numPr>
          <w:ilvl w:val="0"/>
          <w:numId w:val="24"/>
        </w:numPr>
        <w:spacing w:line="480" w:lineRule="auto"/>
        <w:rPr>
          <w:rFonts w:ascii="Times New Roman" w:hAnsi="Times New Roman" w:cs="Times New Roman"/>
          <w:b/>
          <w:bCs/>
          <w:color w:val="0D0D0D" w:themeColor="text1" w:themeTint="F2"/>
          <w:sz w:val="24"/>
          <w:szCs w:val="24"/>
        </w:rPr>
      </w:pPr>
      <w:r w:rsidRPr="00842FE5">
        <w:rPr>
          <w:rFonts w:ascii="Times New Roman" w:hAnsi="Times New Roman" w:cs="Times New Roman"/>
          <w:color w:val="0D0D0D" w:themeColor="text1" w:themeTint="F2"/>
          <w:sz w:val="24"/>
          <w:szCs w:val="24"/>
        </w:rPr>
        <w:t xml:space="preserve">The efficacy and safety of switching to </w:t>
      </w:r>
      <w:r w:rsidR="00113DE2" w:rsidRPr="00842FE5">
        <w:rPr>
          <w:rFonts w:ascii="Times New Roman" w:hAnsi="Times New Roman" w:cs="Times New Roman"/>
          <w:color w:val="0D0D0D" w:themeColor="text1" w:themeTint="F2"/>
          <w:sz w:val="24"/>
          <w:szCs w:val="24"/>
        </w:rPr>
        <w:t xml:space="preserve">insulin glargine </w:t>
      </w:r>
      <w:r w:rsidRPr="00842FE5">
        <w:rPr>
          <w:rFonts w:ascii="Times New Roman" w:hAnsi="Times New Roman" w:cs="Times New Roman"/>
          <w:color w:val="0D0D0D" w:themeColor="text1" w:themeTint="F2"/>
          <w:sz w:val="24"/>
          <w:szCs w:val="24"/>
        </w:rPr>
        <w:t>300</w:t>
      </w:r>
      <w:r w:rsidR="00113DE2" w:rsidRPr="00842FE5">
        <w:rPr>
          <w:rFonts w:ascii="Times New Roman" w:hAnsi="Times New Roman" w:cs="Times New Roman"/>
          <w:color w:val="0D0D0D" w:themeColor="text1" w:themeTint="F2"/>
          <w:sz w:val="24"/>
          <w:szCs w:val="24"/>
        </w:rPr>
        <w:t xml:space="preserve"> U/mL</w:t>
      </w:r>
      <w:r w:rsidRPr="00842FE5">
        <w:rPr>
          <w:rFonts w:ascii="Times New Roman" w:hAnsi="Times New Roman" w:cs="Times New Roman"/>
          <w:color w:val="0D0D0D" w:themeColor="text1" w:themeTint="F2"/>
          <w:sz w:val="24"/>
          <w:szCs w:val="24"/>
        </w:rPr>
        <w:t xml:space="preserve"> </w:t>
      </w:r>
      <w:r w:rsidR="00642EDC" w:rsidRPr="00842FE5">
        <w:rPr>
          <w:rFonts w:ascii="Times New Roman" w:hAnsi="Times New Roman" w:cs="Times New Roman"/>
          <w:color w:val="0D0D0D" w:themeColor="text1" w:themeTint="F2"/>
          <w:sz w:val="24"/>
          <w:szCs w:val="24"/>
        </w:rPr>
        <w:t xml:space="preserve">(Gla-300) </w:t>
      </w:r>
      <w:r w:rsidRPr="00842FE5">
        <w:rPr>
          <w:rFonts w:ascii="Times New Roman" w:hAnsi="Times New Roman" w:cs="Times New Roman"/>
          <w:color w:val="0D0D0D" w:themeColor="text1" w:themeTint="F2"/>
          <w:sz w:val="24"/>
          <w:szCs w:val="24"/>
        </w:rPr>
        <w:t xml:space="preserve">in </w:t>
      </w:r>
      <w:r w:rsidR="00642EDC" w:rsidRPr="00842FE5">
        <w:rPr>
          <w:rFonts w:ascii="Times New Roman" w:hAnsi="Times New Roman" w:cs="Times New Roman"/>
          <w:color w:val="0D0D0D" w:themeColor="text1" w:themeTint="F2"/>
          <w:sz w:val="24"/>
          <w:szCs w:val="24"/>
        </w:rPr>
        <w:t xml:space="preserve">people </w:t>
      </w:r>
      <w:r w:rsidRPr="00842FE5">
        <w:rPr>
          <w:rFonts w:ascii="Times New Roman" w:hAnsi="Times New Roman" w:cs="Times New Roman"/>
          <w:color w:val="0D0D0D" w:themeColor="text1" w:themeTint="F2"/>
          <w:sz w:val="24"/>
          <w:szCs w:val="24"/>
        </w:rPr>
        <w:t xml:space="preserve">with </w:t>
      </w:r>
      <w:r w:rsidR="002A5712" w:rsidRPr="00842FE5">
        <w:rPr>
          <w:rFonts w:ascii="Times New Roman" w:hAnsi="Times New Roman" w:cs="Times New Roman"/>
          <w:color w:val="0D0D0D" w:themeColor="text1" w:themeTint="F2"/>
          <w:sz w:val="24"/>
          <w:szCs w:val="24"/>
        </w:rPr>
        <w:t>type 2 diabetes mellitus (</w:t>
      </w:r>
      <w:r w:rsidRPr="00842FE5">
        <w:rPr>
          <w:rFonts w:ascii="Times New Roman" w:hAnsi="Times New Roman" w:cs="Times New Roman"/>
          <w:color w:val="0D0D0D" w:themeColor="text1" w:themeTint="F2"/>
          <w:sz w:val="24"/>
          <w:szCs w:val="24"/>
        </w:rPr>
        <w:t>T2D</w:t>
      </w:r>
      <w:r w:rsidR="00F238D3" w:rsidRPr="00842FE5">
        <w:rPr>
          <w:rFonts w:ascii="Times New Roman" w:hAnsi="Times New Roman" w:cs="Times New Roman"/>
          <w:color w:val="0D0D0D" w:themeColor="text1" w:themeTint="F2"/>
          <w:sz w:val="24"/>
          <w:szCs w:val="24"/>
        </w:rPr>
        <w:t>M</w:t>
      </w:r>
      <w:r w:rsidR="002A5712" w:rsidRPr="00842FE5">
        <w:rPr>
          <w:rFonts w:ascii="Times New Roman" w:hAnsi="Times New Roman" w:cs="Times New Roman"/>
          <w:color w:val="0D0D0D" w:themeColor="text1" w:themeTint="F2"/>
          <w:sz w:val="24"/>
          <w:szCs w:val="24"/>
        </w:rPr>
        <w:t>)</w:t>
      </w:r>
      <w:r w:rsidRPr="00842FE5">
        <w:rPr>
          <w:rFonts w:ascii="Times New Roman" w:hAnsi="Times New Roman" w:cs="Times New Roman"/>
          <w:color w:val="0D0D0D" w:themeColor="text1" w:themeTint="F2"/>
          <w:sz w:val="24"/>
          <w:szCs w:val="24"/>
        </w:rPr>
        <w:t xml:space="preserve"> uncontrolled on </w:t>
      </w:r>
      <w:r w:rsidR="00B5608D" w:rsidRPr="00842FE5">
        <w:rPr>
          <w:rFonts w:ascii="Times New Roman" w:hAnsi="Times New Roman" w:cs="Times New Roman"/>
          <w:color w:val="0D0D0D" w:themeColor="text1" w:themeTint="F2"/>
          <w:sz w:val="24"/>
          <w:szCs w:val="24"/>
        </w:rPr>
        <w:t>basal insulin</w:t>
      </w:r>
      <w:r w:rsidR="00705AB1">
        <w:rPr>
          <w:rFonts w:ascii="Times New Roman" w:hAnsi="Times New Roman" w:cs="Times New Roman"/>
          <w:color w:val="0D0D0D" w:themeColor="text1" w:themeTint="F2"/>
          <w:sz w:val="24"/>
          <w:szCs w:val="24"/>
        </w:rPr>
        <w:t xml:space="preserve"> (BI)</w:t>
      </w:r>
      <w:r w:rsidRPr="00842FE5">
        <w:rPr>
          <w:rFonts w:ascii="Times New Roman" w:hAnsi="Times New Roman" w:cs="Times New Roman"/>
          <w:color w:val="0D0D0D" w:themeColor="text1" w:themeTint="F2"/>
          <w:sz w:val="24"/>
          <w:szCs w:val="24"/>
        </w:rPr>
        <w:t xml:space="preserve"> has been </w:t>
      </w:r>
      <w:r w:rsidR="00642EDC" w:rsidRPr="00842FE5">
        <w:rPr>
          <w:rFonts w:ascii="Times New Roman" w:hAnsi="Times New Roman" w:cs="Times New Roman"/>
          <w:color w:val="0D0D0D" w:themeColor="text1" w:themeTint="F2"/>
          <w:sz w:val="24"/>
          <w:szCs w:val="24"/>
        </w:rPr>
        <w:t xml:space="preserve">previously </w:t>
      </w:r>
      <w:r w:rsidRPr="00842FE5">
        <w:rPr>
          <w:rFonts w:ascii="Times New Roman" w:hAnsi="Times New Roman" w:cs="Times New Roman"/>
          <w:color w:val="0D0D0D" w:themeColor="text1" w:themeTint="F2"/>
          <w:sz w:val="24"/>
          <w:szCs w:val="24"/>
        </w:rPr>
        <w:t>demonstrated in randomised c</w:t>
      </w:r>
      <w:r w:rsidR="00E610C3" w:rsidRPr="00842FE5">
        <w:rPr>
          <w:rFonts w:ascii="Times New Roman" w:hAnsi="Times New Roman" w:cs="Times New Roman"/>
          <w:color w:val="0D0D0D" w:themeColor="text1" w:themeTint="F2"/>
          <w:sz w:val="24"/>
          <w:szCs w:val="24"/>
        </w:rPr>
        <w:t>ontrol</w:t>
      </w:r>
      <w:r w:rsidR="00705AB1">
        <w:rPr>
          <w:rFonts w:ascii="Times New Roman" w:hAnsi="Times New Roman" w:cs="Times New Roman"/>
          <w:color w:val="0D0D0D" w:themeColor="text1" w:themeTint="F2"/>
          <w:sz w:val="24"/>
          <w:szCs w:val="24"/>
        </w:rPr>
        <w:t>led</w:t>
      </w:r>
      <w:r w:rsidR="00E610C3" w:rsidRPr="00842FE5">
        <w:rPr>
          <w:rFonts w:ascii="Times New Roman" w:hAnsi="Times New Roman" w:cs="Times New Roman"/>
          <w:color w:val="0D0D0D" w:themeColor="text1" w:themeTint="F2"/>
          <w:sz w:val="24"/>
          <w:szCs w:val="24"/>
        </w:rPr>
        <w:t xml:space="preserve"> </w:t>
      </w:r>
      <w:r w:rsidRPr="00842FE5">
        <w:rPr>
          <w:rFonts w:ascii="Times New Roman" w:hAnsi="Times New Roman" w:cs="Times New Roman"/>
          <w:color w:val="0D0D0D" w:themeColor="text1" w:themeTint="F2"/>
          <w:sz w:val="24"/>
          <w:szCs w:val="24"/>
        </w:rPr>
        <w:t xml:space="preserve">trials </w:t>
      </w:r>
      <w:r w:rsidR="00642EDC" w:rsidRPr="00842FE5">
        <w:rPr>
          <w:rFonts w:ascii="Times New Roman" w:hAnsi="Times New Roman" w:cs="Times New Roman"/>
          <w:color w:val="0D0D0D" w:themeColor="text1" w:themeTint="F2"/>
          <w:sz w:val="24"/>
          <w:szCs w:val="24"/>
        </w:rPr>
        <w:t xml:space="preserve">and </w:t>
      </w:r>
      <w:r w:rsidRPr="00842FE5">
        <w:rPr>
          <w:rFonts w:ascii="Times New Roman" w:hAnsi="Times New Roman" w:cs="Times New Roman"/>
          <w:color w:val="0D0D0D" w:themeColor="text1" w:themeTint="F2"/>
          <w:sz w:val="24"/>
          <w:szCs w:val="24"/>
        </w:rPr>
        <w:t>real-world studie</w:t>
      </w:r>
      <w:r w:rsidR="00B5608D" w:rsidRPr="00842FE5">
        <w:rPr>
          <w:rFonts w:ascii="Times New Roman" w:hAnsi="Times New Roman" w:cs="Times New Roman"/>
          <w:color w:val="0D0D0D" w:themeColor="text1" w:themeTint="F2"/>
          <w:sz w:val="24"/>
          <w:szCs w:val="24"/>
        </w:rPr>
        <w:t>s</w:t>
      </w:r>
      <w:r w:rsidR="00F54640" w:rsidRPr="00842FE5">
        <w:rPr>
          <w:rFonts w:ascii="Times New Roman" w:hAnsi="Times New Roman" w:cs="Times New Roman"/>
          <w:color w:val="0D0D0D" w:themeColor="text1" w:themeTint="F2"/>
          <w:sz w:val="24"/>
          <w:szCs w:val="24"/>
        </w:rPr>
        <w:t xml:space="preserve">, albeit in </w:t>
      </w:r>
      <w:r w:rsidR="005238EC" w:rsidRPr="00842FE5">
        <w:rPr>
          <w:rFonts w:ascii="Times New Roman" w:hAnsi="Times New Roman" w:cs="Times New Roman"/>
          <w:color w:val="0D0D0D" w:themeColor="text1" w:themeTint="F2"/>
          <w:sz w:val="24"/>
          <w:szCs w:val="24"/>
        </w:rPr>
        <w:t xml:space="preserve">populations from </w:t>
      </w:r>
      <w:r w:rsidR="00F54640" w:rsidRPr="00842FE5">
        <w:rPr>
          <w:rFonts w:ascii="Times New Roman" w:hAnsi="Times New Roman" w:cs="Times New Roman"/>
          <w:color w:val="0D0D0D" w:themeColor="text1" w:themeTint="F2"/>
          <w:sz w:val="24"/>
          <w:szCs w:val="24"/>
        </w:rPr>
        <w:t xml:space="preserve">the </w:t>
      </w:r>
      <w:r w:rsidR="00A50562" w:rsidRPr="00842FE5">
        <w:rPr>
          <w:rFonts w:ascii="Times New Roman" w:hAnsi="Times New Roman" w:cs="Times New Roman"/>
          <w:color w:val="0D0D0D" w:themeColor="text1" w:themeTint="F2"/>
          <w:sz w:val="24"/>
          <w:szCs w:val="24"/>
        </w:rPr>
        <w:t>U</w:t>
      </w:r>
      <w:r w:rsidR="00C74945" w:rsidRPr="00842FE5">
        <w:rPr>
          <w:rFonts w:ascii="Times New Roman" w:hAnsi="Times New Roman" w:cs="Times New Roman"/>
          <w:color w:val="0D0D0D" w:themeColor="text1" w:themeTint="F2"/>
          <w:sz w:val="24"/>
          <w:szCs w:val="24"/>
        </w:rPr>
        <w:t xml:space="preserve">nited </w:t>
      </w:r>
      <w:r w:rsidR="00A50562" w:rsidRPr="00842FE5">
        <w:rPr>
          <w:rFonts w:ascii="Times New Roman" w:hAnsi="Times New Roman" w:cs="Times New Roman"/>
          <w:color w:val="0D0D0D" w:themeColor="text1" w:themeTint="F2"/>
          <w:sz w:val="24"/>
          <w:szCs w:val="24"/>
        </w:rPr>
        <w:t>S</w:t>
      </w:r>
      <w:r w:rsidR="00C74945" w:rsidRPr="00842FE5">
        <w:rPr>
          <w:rFonts w:ascii="Times New Roman" w:hAnsi="Times New Roman" w:cs="Times New Roman"/>
          <w:color w:val="0D0D0D" w:themeColor="text1" w:themeTint="F2"/>
          <w:sz w:val="24"/>
          <w:szCs w:val="24"/>
        </w:rPr>
        <w:t>tates</w:t>
      </w:r>
      <w:r w:rsidR="00A50562" w:rsidRPr="00842FE5">
        <w:rPr>
          <w:rFonts w:ascii="Times New Roman" w:hAnsi="Times New Roman" w:cs="Times New Roman"/>
          <w:color w:val="0D0D0D" w:themeColor="text1" w:themeTint="F2"/>
          <w:sz w:val="24"/>
          <w:szCs w:val="24"/>
        </w:rPr>
        <w:t xml:space="preserve"> and Europe</w:t>
      </w:r>
      <w:r w:rsidR="002027A0" w:rsidRPr="00842FE5">
        <w:rPr>
          <w:rFonts w:ascii="Times New Roman" w:hAnsi="Times New Roman" w:cs="Times New Roman"/>
          <w:color w:val="0D0D0D" w:themeColor="text1" w:themeTint="F2"/>
          <w:sz w:val="24"/>
          <w:szCs w:val="24"/>
        </w:rPr>
        <w:t>.</w:t>
      </w:r>
    </w:p>
    <w:p w14:paraId="26902B5F" w14:textId="3CD80DCB" w:rsidR="00DB0572" w:rsidRPr="00842FE5" w:rsidRDefault="001865A3" w:rsidP="00DB0572">
      <w:pPr>
        <w:pStyle w:val="ListParagraph"/>
        <w:numPr>
          <w:ilvl w:val="0"/>
          <w:numId w:val="24"/>
        </w:numPr>
        <w:tabs>
          <w:tab w:val="left" w:pos="3441"/>
        </w:tabs>
        <w:spacing w:line="480" w:lineRule="auto"/>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 xml:space="preserve">There </w:t>
      </w:r>
      <w:r w:rsidR="007D6FD4" w:rsidRPr="00842FE5">
        <w:rPr>
          <w:rFonts w:ascii="Times New Roman" w:hAnsi="Times New Roman" w:cs="Times New Roman"/>
          <w:color w:val="0D0D0D" w:themeColor="text1" w:themeTint="F2"/>
          <w:sz w:val="24"/>
          <w:szCs w:val="24"/>
        </w:rPr>
        <w:t xml:space="preserve">is </w:t>
      </w:r>
      <w:r w:rsidRPr="00842FE5">
        <w:rPr>
          <w:rFonts w:ascii="Times New Roman" w:hAnsi="Times New Roman" w:cs="Times New Roman"/>
          <w:color w:val="0D0D0D" w:themeColor="text1" w:themeTint="F2"/>
          <w:sz w:val="24"/>
          <w:szCs w:val="24"/>
        </w:rPr>
        <w:t xml:space="preserve">limited data on </w:t>
      </w:r>
      <w:r w:rsidR="00DB0572" w:rsidRPr="00842FE5">
        <w:rPr>
          <w:rFonts w:ascii="Times New Roman" w:hAnsi="Times New Roman" w:cs="Times New Roman"/>
          <w:color w:val="0D0D0D" w:themeColor="text1" w:themeTint="F2"/>
          <w:sz w:val="24"/>
          <w:szCs w:val="24"/>
        </w:rPr>
        <w:t xml:space="preserve">efficacy and safety of </w:t>
      </w:r>
      <w:r w:rsidR="007D6FD4" w:rsidRPr="00842FE5">
        <w:rPr>
          <w:rFonts w:ascii="Times New Roman" w:hAnsi="Times New Roman" w:cs="Times New Roman"/>
          <w:color w:val="0D0D0D" w:themeColor="text1" w:themeTint="F2"/>
          <w:sz w:val="24"/>
          <w:szCs w:val="24"/>
        </w:rPr>
        <w:t xml:space="preserve">Gla-300 </w:t>
      </w:r>
      <w:r w:rsidR="00880580" w:rsidRPr="00842FE5">
        <w:rPr>
          <w:rFonts w:ascii="Times New Roman" w:hAnsi="Times New Roman" w:cs="Times New Roman"/>
          <w:color w:val="0D0D0D" w:themeColor="text1" w:themeTint="F2"/>
          <w:sz w:val="24"/>
          <w:szCs w:val="24"/>
        </w:rPr>
        <w:t xml:space="preserve">use </w:t>
      </w:r>
      <w:r w:rsidR="00DB0572" w:rsidRPr="00842FE5">
        <w:rPr>
          <w:rFonts w:ascii="Times New Roman" w:hAnsi="Times New Roman" w:cs="Times New Roman"/>
          <w:color w:val="0D0D0D" w:themeColor="text1" w:themeTint="F2"/>
          <w:sz w:val="24"/>
          <w:szCs w:val="24"/>
        </w:rPr>
        <w:t>in wider geographic regions including populations of various ethnic backgrounds</w:t>
      </w:r>
      <w:r w:rsidR="006276F0" w:rsidRPr="00842FE5">
        <w:rPr>
          <w:rFonts w:ascii="Times New Roman" w:hAnsi="Times New Roman" w:cs="Times New Roman"/>
          <w:color w:val="0D0D0D" w:themeColor="text1" w:themeTint="F2"/>
          <w:sz w:val="24"/>
          <w:szCs w:val="24"/>
        </w:rPr>
        <w:t>,</w:t>
      </w:r>
      <w:r w:rsidR="00DB0572" w:rsidRPr="00842FE5">
        <w:rPr>
          <w:rFonts w:ascii="Times New Roman" w:hAnsi="Times New Roman" w:cs="Times New Roman"/>
          <w:color w:val="0D0D0D" w:themeColor="text1" w:themeTint="F2"/>
          <w:sz w:val="24"/>
          <w:szCs w:val="24"/>
        </w:rPr>
        <w:t xml:space="preserve"> lifestyles</w:t>
      </w:r>
      <w:r w:rsidR="006276F0" w:rsidRPr="00842FE5">
        <w:rPr>
          <w:rFonts w:ascii="Times New Roman" w:hAnsi="Times New Roman" w:cs="Times New Roman"/>
          <w:color w:val="0D0D0D" w:themeColor="text1" w:themeTint="F2"/>
          <w:sz w:val="24"/>
          <w:szCs w:val="24"/>
        </w:rPr>
        <w:t xml:space="preserve"> and clinical practices</w:t>
      </w:r>
      <w:r w:rsidR="00B20B94" w:rsidRPr="00842FE5">
        <w:rPr>
          <w:rFonts w:ascii="Times New Roman" w:hAnsi="Times New Roman" w:cs="Times New Roman"/>
          <w:color w:val="0D0D0D" w:themeColor="text1" w:themeTint="F2"/>
          <w:sz w:val="24"/>
          <w:szCs w:val="24"/>
        </w:rPr>
        <w:t>; the present study aimed to address this evidence gap</w:t>
      </w:r>
      <w:r w:rsidR="002027A0" w:rsidRPr="00842FE5">
        <w:rPr>
          <w:rFonts w:ascii="Times New Roman" w:hAnsi="Times New Roman" w:cs="Times New Roman"/>
          <w:color w:val="0D0D0D" w:themeColor="text1" w:themeTint="F2"/>
          <w:sz w:val="24"/>
          <w:szCs w:val="24"/>
        </w:rPr>
        <w:t>.</w:t>
      </w:r>
    </w:p>
    <w:p w14:paraId="234306D4" w14:textId="77777777" w:rsidR="00AA565A" w:rsidRPr="00842FE5" w:rsidRDefault="00BC279D" w:rsidP="00AA565A">
      <w:pPr>
        <w:pStyle w:val="ListParagraph"/>
        <w:spacing w:line="480" w:lineRule="auto"/>
        <w:ind w:left="142" w:hanging="142"/>
        <w:rPr>
          <w:rFonts w:ascii="Times New Roman" w:hAnsi="Times New Roman" w:cs="Times New Roman"/>
          <w:b/>
          <w:bCs/>
          <w:color w:val="0D0D0D" w:themeColor="text1" w:themeTint="F2"/>
          <w:sz w:val="24"/>
          <w:szCs w:val="24"/>
        </w:rPr>
      </w:pPr>
      <w:r w:rsidRPr="00842FE5">
        <w:rPr>
          <w:rFonts w:ascii="Times New Roman" w:hAnsi="Times New Roman" w:cs="Times New Roman"/>
          <w:b/>
          <w:bCs/>
          <w:color w:val="0D0D0D" w:themeColor="text1" w:themeTint="F2"/>
          <w:sz w:val="24"/>
          <w:szCs w:val="24"/>
        </w:rPr>
        <w:t>What was learned from the study</w:t>
      </w:r>
      <w:r w:rsidR="002B3D2C" w:rsidRPr="00842FE5">
        <w:rPr>
          <w:rFonts w:ascii="Times New Roman" w:hAnsi="Times New Roman" w:cs="Times New Roman"/>
          <w:b/>
          <w:bCs/>
          <w:color w:val="0D0D0D" w:themeColor="text1" w:themeTint="F2"/>
          <w:sz w:val="24"/>
          <w:szCs w:val="24"/>
        </w:rPr>
        <w:t>?</w:t>
      </w:r>
    </w:p>
    <w:p w14:paraId="547DFE99" w14:textId="34F32A0A" w:rsidR="006B587C" w:rsidRPr="00842FE5" w:rsidRDefault="00C50E84" w:rsidP="00A914C2">
      <w:pPr>
        <w:pStyle w:val="ListParagraph"/>
        <w:numPr>
          <w:ilvl w:val="0"/>
          <w:numId w:val="27"/>
        </w:numPr>
        <w:spacing w:line="480" w:lineRule="auto"/>
        <w:rPr>
          <w:rFonts w:ascii="Times New Roman" w:hAnsi="Times New Roman" w:cs="Times New Roman"/>
          <w:b/>
          <w:bCs/>
          <w:color w:val="0D0D0D" w:themeColor="text1" w:themeTint="F2"/>
          <w:sz w:val="24"/>
          <w:szCs w:val="24"/>
        </w:rPr>
      </w:pPr>
      <w:r w:rsidRPr="00842FE5">
        <w:rPr>
          <w:rFonts w:ascii="Times New Roman" w:hAnsi="Times New Roman" w:cs="Times New Roman"/>
          <w:color w:val="0D0D0D" w:themeColor="text1" w:themeTint="F2"/>
          <w:sz w:val="24"/>
          <w:szCs w:val="24"/>
        </w:rPr>
        <w:t xml:space="preserve">The </w:t>
      </w:r>
      <w:r w:rsidR="006B587C" w:rsidRPr="00842FE5">
        <w:rPr>
          <w:rFonts w:ascii="Times New Roman" w:hAnsi="Times New Roman" w:cs="Times New Roman"/>
          <w:color w:val="0D0D0D" w:themeColor="text1" w:themeTint="F2"/>
          <w:sz w:val="24"/>
          <w:szCs w:val="24"/>
        </w:rPr>
        <w:t xml:space="preserve">26-week </w:t>
      </w:r>
      <w:r w:rsidRPr="00842FE5">
        <w:rPr>
          <w:rFonts w:ascii="Times New Roman" w:hAnsi="Times New Roman" w:cs="Times New Roman"/>
          <w:color w:val="0D0D0D" w:themeColor="text1" w:themeTint="F2"/>
          <w:sz w:val="24"/>
          <w:szCs w:val="24"/>
        </w:rPr>
        <w:t xml:space="preserve">ARTEMIS-DM study </w:t>
      </w:r>
      <w:r w:rsidR="006B587C" w:rsidRPr="00842FE5">
        <w:rPr>
          <w:rFonts w:ascii="Times New Roman" w:hAnsi="Times New Roman" w:cs="Times New Roman"/>
          <w:color w:val="0D0D0D" w:themeColor="text1" w:themeTint="F2"/>
          <w:sz w:val="24"/>
          <w:szCs w:val="24"/>
        </w:rPr>
        <w:t xml:space="preserve">assessed </w:t>
      </w:r>
      <w:r w:rsidR="00BC7058" w:rsidRPr="00842FE5">
        <w:rPr>
          <w:rFonts w:ascii="Times New Roman" w:hAnsi="Times New Roman" w:cs="Times New Roman"/>
          <w:color w:val="0D0D0D" w:themeColor="text1" w:themeTint="F2"/>
          <w:sz w:val="24"/>
          <w:szCs w:val="24"/>
        </w:rPr>
        <w:t xml:space="preserve">the efficacy and safety of switching to Gla-300 </w:t>
      </w:r>
      <w:r w:rsidR="00847AF1" w:rsidRPr="00842FE5">
        <w:rPr>
          <w:rFonts w:ascii="Times New Roman" w:hAnsi="Times New Roman" w:cs="Times New Roman"/>
          <w:color w:val="0D0D0D" w:themeColor="text1" w:themeTint="F2"/>
          <w:sz w:val="24"/>
          <w:szCs w:val="24"/>
        </w:rPr>
        <w:t>in people with T2D</w:t>
      </w:r>
      <w:r w:rsidR="00F238D3" w:rsidRPr="00842FE5">
        <w:rPr>
          <w:rFonts w:ascii="Times New Roman" w:hAnsi="Times New Roman" w:cs="Times New Roman"/>
          <w:color w:val="0D0D0D" w:themeColor="text1" w:themeTint="F2"/>
          <w:sz w:val="24"/>
          <w:szCs w:val="24"/>
        </w:rPr>
        <w:t>M</w:t>
      </w:r>
      <w:r w:rsidR="00847AF1" w:rsidRPr="00842FE5">
        <w:rPr>
          <w:rFonts w:ascii="Times New Roman" w:hAnsi="Times New Roman" w:cs="Times New Roman"/>
          <w:color w:val="0D0D0D" w:themeColor="text1" w:themeTint="F2"/>
          <w:sz w:val="24"/>
          <w:szCs w:val="24"/>
        </w:rPr>
        <w:t xml:space="preserve"> </w:t>
      </w:r>
      <w:r w:rsidR="004300B9" w:rsidRPr="00842FE5">
        <w:rPr>
          <w:rFonts w:ascii="Times New Roman" w:hAnsi="Times New Roman" w:cs="Times New Roman"/>
          <w:color w:val="0D0D0D" w:themeColor="text1" w:themeTint="F2"/>
          <w:sz w:val="24"/>
          <w:szCs w:val="24"/>
        </w:rPr>
        <w:t xml:space="preserve">who were uncontrolled on </w:t>
      </w:r>
      <w:r w:rsidR="00720082" w:rsidRPr="00842FE5">
        <w:rPr>
          <w:rFonts w:ascii="Times New Roman" w:hAnsi="Times New Roman" w:cs="Times New Roman"/>
          <w:color w:val="0D0D0D" w:themeColor="text1" w:themeTint="F2"/>
          <w:sz w:val="24"/>
          <w:szCs w:val="24"/>
        </w:rPr>
        <w:t xml:space="preserve">previous </w:t>
      </w:r>
      <w:r w:rsidR="00536E4F" w:rsidRPr="00842FE5">
        <w:rPr>
          <w:rFonts w:ascii="Times New Roman" w:hAnsi="Times New Roman" w:cs="Times New Roman"/>
          <w:color w:val="0D0D0D" w:themeColor="text1" w:themeTint="F2"/>
          <w:sz w:val="24"/>
          <w:szCs w:val="24"/>
        </w:rPr>
        <w:t>BI</w:t>
      </w:r>
      <w:r w:rsidR="00720082" w:rsidRPr="00842FE5">
        <w:rPr>
          <w:rFonts w:ascii="Times New Roman" w:hAnsi="Times New Roman" w:cs="Times New Roman"/>
          <w:color w:val="0D0D0D" w:themeColor="text1" w:themeTint="F2"/>
          <w:sz w:val="24"/>
          <w:szCs w:val="24"/>
        </w:rPr>
        <w:t xml:space="preserve"> therapy </w:t>
      </w:r>
      <w:r w:rsidR="005A2226" w:rsidRPr="00842FE5">
        <w:rPr>
          <w:rFonts w:ascii="Times New Roman" w:hAnsi="Times New Roman" w:cs="Times New Roman"/>
          <w:color w:val="0D0D0D" w:themeColor="text1" w:themeTint="F2"/>
          <w:sz w:val="24"/>
          <w:szCs w:val="24"/>
        </w:rPr>
        <w:t xml:space="preserve">in </w:t>
      </w:r>
      <w:r w:rsidR="00667016" w:rsidRPr="00842FE5">
        <w:rPr>
          <w:rFonts w:ascii="Times New Roman" w:hAnsi="Times New Roman" w:cs="Times New Roman"/>
          <w:color w:val="0D0D0D" w:themeColor="text1" w:themeTint="F2"/>
          <w:sz w:val="24"/>
          <w:szCs w:val="24"/>
        </w:rPr>
        <w:t>Asia, Latin America and Middle-East Africa</w:t>
      </w:r>
      <w:r w:rsidR="002027A0" w:rsidRPr="00842FE5">
        <w:rPr>
          <w:rFonts w:ascii="Times New Roman" w:hAnsi="Times New Roman" w:cs="Times New Roman"/>
          <w:color w:val="0D0D0D" w:themeColor="text1" w:themeTint="F2"/>
          <w:sz w:val="24"/>
          <w:szCs w:val="24"/>
        </w:rPr>
        <w:t>.</w:t>
      </w:r>
    </w:p>
    <w:p w14:paraId="06EDE01D" w14:textId="77777777" w:rsidR="00D67D1B" w:rsidRPr="00842FE5" w:rsidRDefault="00520095" w:rsidP="00D67D1B">
      <w:pPr>
        <w:pStyle w:val="ListParagraph"/>
        <w:numPr>
          <w:ilvl w:val="0"/>
          <w:numId w:val="27"/>
        </w:numPr>
        <w:spacing w:line="480" w:lineRule="auto"/>
        <w:rPr>
          <w:rFonts w:ascii="Times New Roman" w:hAnsi="Times New Roman" w:cs="Times New Roman"/>
          <w:b/>
          <w:bCs/>
          <w:color w:val="0D0D0D" w:themeColor="text1" w:themeTint="F2"/>
          <w:sz w:val="24"/>
          <w:szCs w:val="24"/>
        </w:rPr>
      </w:pPr>
      <w:r w:rsidRPr="00842FE5">
        <w:rPr>
          <w:rFonts w:ascii="Times New Roman" w:hAnsi="Times New Roman" w:cs="Times New Roman"/>
          <w:color w:val="0D0D0D" w:themeColor="text1" w:themeTint="F2"/>
          <w:sz w:val="24"/>
          <w:szCs w:val="24"/>
        </w:rPr>
        <w:t>The study results confirm</w:t>
      </w:r>
      <w:r w:rsidR="00667016" w:rsidRPr="00842FE5">
        <w:rPr>
          <w:rFonts w:ascii="Times New Roman" w:hAnsi="Times New Roman" w:cs="Times New Roman"/>
          <w:color w:val="0D0D0D" w:themeColor="text1" w:themeTint="F2"/>
          <w:sz w:val="24"/>
          <w:szCs w:val="24"/>
        </w:rPr>
        <w:t xml:space="preserve"> that</w:t>
      </w:r>
      <w:r w:rsidRPr="00842FE5">
        <w:rPr>
          <w:rFonts w:ascii="Times New Roman" w:hAnsi="Times New Roman" w:cs="Times New Roman"/>
          <w:color w:val="0D0D0D" w:themeColor="text1" w:themeTint="F2"/>
          <w:sz w:val="24"/>
          <w:szCs w:val="24"/>
        </w:rPr>
        <w:t xml:space="preserve"> switching to </w:t>
      </w:r>
      <w:r w:rsidR="00667016" w:rsidRPr="00842FE5">
        <w:rPr>
          <w:rFonts w:ascii="Times New Roman" w:hAnsi="Times New Roman" w:cs="Times New Roman"/>
          <w:color w:val="0D0D0D" w:themeColor="text1" w:themeTint="F2"/>
          <w:sz w:val="24"/>
          <w:szCs w:val="24"/>
        </w:rPr>
        <w:t xml:space="preserve">Gla-300 </w:t>
      </w:r>
      <w:r w:rsidR="00864632" w:rsidRPr="00842FE5">
        <w:rPr>
          <w:rFonts w:ascii="Times New Roman" w:hAnsi="Times New Roman" w:cs="Times New Roman"/>
          <w:color w:val="0D0D0D" w:themeColor="text1" w:themeTint="F2"/>
          <w:sz w:val="24"/>
          <w:szCs w:val="24"/>
        </w:rPr>
        <w:t xml:space="preserve">treatment </w:t>
      </w:r>
      <w:r w:rsidRPr="00842FE5">
        <w:rPr>
          <w:rFonts w:ascii="Times New Roman" w:hAnsi="Times New Roman" w:cs="Times New Roman"/>
          <w:color w:val="0D0D0D" w:themeColor="text1" w:themeTint="F2"/>
          <w:sz w:val="24"/>
          <w:szCs w:val="24"/>
        </w:rPr>
        <w:t xml:space="preserve">with optimal titration </w:t>
      </w:r>
      <w:r w:rsidR="00864632" w:rsidRPr="00842FE5">
        <w:rPr>
          <w:rFonts w:ascii="Times New Roman" w:hAnsi="Times New Roman" w:cs="Times New Roman"/>
          <w:color w:val="0D0D0D" w:themeColor="text1" w:themeTint="F2"/>
          <w:sz w:val="24"/>
          <w:szCs w:val="24"/>
        </w:rPr>
        <w:t>result</w:t>
      </w:r>
      <w:r w:rsidR="00D67D1B" w:rsidRPr="00842FE5">
        <w:rPr>
          <w:rFonts w:ascii="Times New Roman" w:hAnsi="Times New Roman" w:cs="Times New Roman"/>
          <w:color w:val="0D0D0D" w:themeColor="text1" w:themeTint="F2"/>
          <w:sz w:val="24"/>
          <w:szCs w:val="24"/>
        </w:rPr>
        <w:t>s</w:t>
      </w:r>
      <w:r w:rsidR="00864632" w:rsidRPr="00842FE5">
        <w:rPr>
          <w:rFonts w:ascii="Times New Roman" w:hAnsi="Times New Roman" w:cs="Times New Roman"/>
          <w:color w:val="0D0D0D" w:themeColor="text1" w:themeTint="F2"/>
          <w:sz w:val="24"/>
          <w:szCs w:val="24"/>
        </w:rPr>
        <w:t xml:space="preserve"> in </w:t>
      </w:r>
      <w:r w:rsidR="007370C6" w:rsidRPr="00842FE5">
        <w:rPr>
          <w:rFonts w:ascii="Times New Roman" w:hAnsi="Times New Roman" w:cs="Times New Roman"/>
          <w:color w:val="0D0D0D" w:themeColor="text1" w:themeTint="F2"/>
          <w:sz w:val="24"/>
          <w:szCs w:val="24"/>
        </w:rPr>
        <w:t xml:space="preserve">clinically </w:t>
      </w:r>
      <w:r w:rsidR="00864632" w:rsidRPr="00842FE5">
        <w:rPr>
          <w:rFonts w:ascii="Times New Roman" w:hAnsi="Times New Roman" w:cs="Times New Roman"/>
          <w:color w:val="0D0D0D" w:themeColor="text1" w:themeTint="F2"/>
          <w:sz w:val="24"/>
          <w:szCs w:val="24"/>
        </w:rPr>
        <w:t>significant reduction</w:t>
      </w:r>
      <w:r w:rsidR="007370C6" w:rsidRPr="00842FE5">
        <w:rPr>
          <w:rFonts w:ascii="Times New Roman" w:hAnsi="Times New Roman" w:cs="Times New Roman"/>
          <w:color w:val="0D0D0D" w:themeColor="text1" w:themeTint="F2"/>
          <w:sz w:val="24"/>
          <w:szCs w:val="24"/>
        </w:rPr>
        <w:t>s</w:t>
      </w:r>
      <w:r w:rsidR="00864632" w:rsidRPr="00842FE5">
        <w:rPr>
          <w:rFonts w:ascii="Times New Roman" w:hAnsi="Times New Roman" w:cs="Times New Roman"/>
          <w:color w:val="0D0D0D" w:themeColor="text1" w:themeTint="F2"/>
          <w:sz w:val="24"/>
          <w:szCs w:val="24"/>
        </w:rPr>
        <w:t xml:space="preserve"> in </w:t>
      </w:r>
      <w:r w:rsidR="00F01AF9" w:rsidRPr="00842FE5">
        <w:rPr>
          <w:rFonts w:ascii="Times New Roman" w:hAnsi="Times New Roman" w:cs="Times New Roman"/>
          <w:color w:val="0D0D0D" w:themeColor="text1" w:themeTint="F2"/>
          <w:sz w:val="24"/>
          <w:szCs w:val="24"/>
        </w:rPr>
        <w:t>glycated haemoglobin (</w:t>
      </w:r>
      <w:r w:rsidR="00864632" w:rsidRPr="00842FE5">
        <w:rPr>
          <w:rFonts w:ascii="Times New Roman" w:hAnsi="Times New Roman" w:cs="Times New Roman"/>
          <w:color w:val="0D0D0D" w:themeColor="text1" w:themeTint="F2"/>
          <w:sz w:val="24"/>
          <w:szCs w:val="24"/>
        </w:rPr>
        <w:t>HbA</w:t>
      </w:r>
      <w:r w:rsidR="00864632" w:rsidRPr="00842FE5">
        <w:rPr>
          <w:rFonts w:ascii="Times New Roman" w:hAnsi="Times New Roman" w:cs="Times New Roman"/>
          <w:color w:val="0D0D0D" w:themeColor="text1" w:themeTint="F2"/>
          <w:sz w:val="24"/>
          <w:szCs w:val="24"/>
          <w:vertAlign w:val="subscript"/>
        </w:rPr>
        <w:t>1c</w:t>
      </w:r>
      <w:r w:rsidR="00F01AF9" w:rsidRPr="00842FE5">
        <w:rPr>
          <w:rFonts w:ascii="Times New Roman" w:hAnsi="Times New Roman" w:cs="Times New Roman"/>
          <w:color w:val="0D0D0D" w:themeColor="text1" w:themeTint="F2"/>
          <w:sz w:val="24"/>
          <w:szCs w:val="24"/>
        </w:rPr>
        <w:t>)</w:t>
      </w:r>
      <w:r w:rsidR="00164019" w:rsidRPr="00842FE5">
        <w:rPr>
          <w:rFonts w:ascii="Times New Roman" w:hAnsi="Times New Roman" w:cs="Times New Roman"/>
          <w:color w:val="0D0D0D" w:themeColor="text1" w:themeTint="F2"/>
          <w:sz w:val="24"/>
          <w:szCs w:val="24"/>
          <w:vertAlign w:val="subscript"/>
        </w:rPr>
        <w:t xml:space="preserve"> </w:t>
      </w:r>
      <w:r w:rsidR="00164019" w:rsidRPr="00842FE5">
        <w:rPr>
          <w:rFonts w:ascii="Times New Roman" w:hAnsi="Times New Roman" w:cs="Times New Roman"/>
          <w:color w:val="0D0D0D" w:themeColor="text1" w:themeTint="F2"/>
          <w:sz w:val="24"/>
          <w:szCs w:val="24"/>
        </w:rPr>
        <w:t xml:space="preserve">and </w:t>
      </w:r>
      <w:r w:rsidR="00F01AF9" w:rsidRPr="00842FE5">
        <w:rPr>
          <w:rFonts w:ascii="Times New Roman" w:hAnsi="Times New Roman" w:cs="Times New Roman"/>
          <w:color w:val="0D0D0D" w:themeColor="text1" w:themeTint="F2"/>
          <w:sz w:val="24"/>
          <w:szCs w:val="24"/>
        </w:rPr>
        <w:t>fasting plasma glucose (</w:t>
      </w:r>
      <w:r w:rsidR="00164019" w:rsidRPr="00842FE5">
        <w:rPr>
          <w:rFonts w:ascii="Times New Roman" w:hAnsi="Times New Roman" w:cs="Times New Roman"/>
          <w:color w:val="0D0D0D" w:themeColor="text1" w:themeTint="F2"/>
          <w:sz w:val="24"/>
          <w:szCs w:val="24"/>
        </w:rPr>
        <w:t>FPG</w:t>
      </w:r>
      <w:r w:rsidR="00F01AF9" w:rsidRPr="00842FE5">
        <w:rPr>
          <w:rFonts w:ascii="Times New Roman" w:hAnsi="Times New Roman" w:cs="Times New Roman"/>
          <w:color w:val="0D0D0D" w:themeColor="text1" w:themeTint="F2"/>
          <w:sz w:val="24"/>
          <w:szCs w:val="24"/>
        </w:rPr>
        <w:t>)</w:t>
      </w:r>
      <w:r w:rsidR="00164019" w:rsidRPr="00842FE5">
        <w:rPr>
          <w:rFonts w:ascii="Times New Roman" w:hAnsi="Times New Roman" w:cs="Times New Roman"/>
          <w:color w:val="0D0D0D" w:themeColor="text1" w:themeTint="F2"/>
          <w:sz w:val="24"/>
          <w:szCs w:val="24"/>
        </w:rPr>
        <w:t xml:space="preserve"> </w:t>
      </w:r>
      <w:r w:rsidRPr="00842FE5">
        <w:rPr>
          <w:rFonts w:ascii="Times New Roman" w:hAnsi="Times New Roman" w:cs="Times New Roman"/>
          <w:color w:val="0D0D0D" w:themeColor="text1" w:themeTint="F2"/>
          <w:sz w:val="24"/>
          <w:szCs w:val="24"/>
        </w:rPr>
        <w:t>with low incidence of hypoglycaemia</w:t>
      </w:r>
      <w:r w:rsidR="0011574C" w:rsidRPr="00842FE5">
        <w:rPr>
          <w:rFonts w:ascii="Times New Roman" w:hAnsi="Times New Roman" w:cs="Times New Roman"/>
          <w:color w:val="0D0D0D" w:themeColor="text1" w:themeTint="F2"/>
          <w:sz w:val="24"/>
          <w:szCs w:val="24"/>
        </w:rPr>
        <w:t xml:space="preserve"> </w:t>
      </w:r>
      <w:r w:rsidR="001E5A53" w:rsidRPr="00842FE5">
        <w:rPr>
          <w:rFonts w:ascii="Times New Roman" w:hAnsi="Times New Roman" w:cs="Times New Roman"/>
          <w:color w:val="0D0D0D" w:themeColor="text1" w:themeTint="F2"/>
          <w:sz w:val="24"/>
          <w:szCs w:val="24"/>
        </w:rPr>
        <w:t>and minimal body weight change</w:t>
      </w:r>
      <w:r w:rsidR="002027A0" w:rsidRPr="00842FE5">
        <w:rPr>
          <w:rFonts w:ascii="Times New Roman" w:hAnsi="Times New Roman" w:cs="Times New Roman"/>
          <w:color w:val="0D0D0D" w:themeColor="text1" w:themeTint="F2"/>
          <w:sz w:val="24"/>
          <w:szCs w:val="24"/>
        </w:rPr>
        <w:t>.</w:t>
      </w:r>
    </w:p>
    <w:p w14:paraId="482C5FC8" w14:textId="1FEE8350" w:rsidR="00ED7FB7" w:rsidRPr="00842FE5" w:rsidRDefault="001171EC" w:rsidP="00AA6986">
      <w:pPr>
        <w:pStyle w:val="ListParagraph"/>
        <w:numPr>
          <w:ilvl w:val="0"/>
          <w:numId w:val="27"/>
        </w:numPr>
        <w:spacing w:line="480" w:lineRule="auto"/>
        <w:rPr>
          <w:rFonts w:ascii="Times New Roman" w:hAnsi="Times New Roman" w:cs="Times New Roman"/>
          <w:b/>
          <w:bCs/>
          <w:color w:val="0D0D0D" w:themeColor="text1" w:themeTint="F2"/>
          <w:sz w:val="24"/>
          <w:szCs w:val="24"/>
        </w:rPr>
      </w:pPr>
      <w:r w:rsidRPr="00842FE5">
        <w:rPr>
          <w:rFonts w:ascii="Times New Roman" w:hAnsi="Times New Roman" w:cs="Times New Roman"/>
          <w:color w:val="0D0D0D" w:themeColor="text1" w:themeTint="F2"/>
          <w:sz w:val="24"/>
          <w:szCs w:val="24"/>
        </w:rPr>
        <w:t>This interventional study</w:t>
      </w:r>
      <w:r w:rsidR="00A81325" w:rsidRPr="00842FE5">
        <w:rPr>
          <w:rFonts w:ascii="Times New Roman" w:hAnsi="Times New Roman" w:cs="Times New Roman"/>
          <w:color w:val="0D0D0D" w:themeColor="text1" w:themeTint="F2"/>
          <w:sz w:val="24"/>
          <w:szCs w:val="24"/>
        </w:rPr>
        <w:t xml:space="preserve"> confirms the efficacy and </w:t>
      </w:r>
      <w:r w:rsidR="0017395C" w:rsidRPr="00842FE5">
        <w:rPr>
          <w:rFonts w:ascii="Times New Roman" w:hAnsi="Times New Roman" w:cs="Times New Roman"/>
          <w:color w:val="0D0D0D" w:themeColor="text1" w:themeTint="F2"/>
          <w:sz w:val="24"/>
          <w:szCs w:val="24"/>
        </w:rPr>
        <w:t>safe</w:t>
      </w:r>
      <w:r w:rsidR="00A81325" w:rsidRPr="00842FE5">
        <w:rPr>
          <w:rFonts w:ascii="Times New Roman" w:hAnsi="Times New Roman" w:cs="Times New Roman"/>
          <w:color w:val="0D0D0D" w:themeColor="text1" w:themeTint="F2"/>
          <w:sz w:val="24"/>
          <w:szCs w:val="24"/>
        </w:rPr>
        <w:t>ty of Gla-300</w:t>
      </w:r>
      <w:r w:rsidR="0017395C" w:rsidRPr="00842FE5">
        <w:rPr>
          <w:rFonts w:ascii="Times New Roman" w:hAnsi="Times New Roman" w:cs="Times New Roman"/>
          <w:color w:val="0D0D0D" w:themeColor="text1" w:themeTint="F2"/>
          <w:sz w:val="24"/>
          <w:szCs w:val="24"/>
        </w:rPr>
        <w:t xml:space="preserve"> </w:t>
      </w:r>
      <w:r w:rsidR="002027A0" w:rsidRPr="00842FE5">
        <w:rPr>
          <w:rFonts w:ascii="Times New Roman" w:hAnsi="Times New Roman" w:cs="Times New Roman"/>
          <w:color w:val="0D0D0D" w:themeColor="text1" w:themeTint="F2"/>
          <w:sz w:val="24"/>
          <w:szCs w:val="24"/>
        </w:rPr>
        <w:t xml:space="preserve">in </w:t>
      </w:r>
      <w:r w:rsidR="005839BC" w:rsidRPr="00842FE5">
        <w:rPr>
          <w:rFonts w:ascii="Times New Roman" w:hAnsi="Times New Roman" w:cs="Times New Roman"/>
          <w:color w:val="0D0D0D" w:themeColor="text1" w:themeTint="F2"/>
          <w:sz w:val="24"/>
          <w:szCs w:val="24"/>
        </w:rPr>
        <w:t xml:space="preserve">people </w:t>
      </w:r>
      <w:r w:rsidR="007D543A" w:rsidRPr="00842FE5">
        <w:rPr>
          <w:rFonts w:ascii="Times New Roman" w:hAnsi="Times New Roman" w:cs="Times New Roman"/>
          <w:color w:val="0D0D0D" w:themeColor="text1" w:themeTint="F2"/>
          <w:sz w:val="24"/>
          <w:szCs w:val="24"/>
        </w:rPr>
        <w:t xml:space="preserve">with </w:t>
      </w:r>
      <w:r w:rsidR="00900814" w:rsidRPr="00842FE5">
        <w:rPr>
          <w:rFonts w:ascii="Times New Roman" w:hAnsi="Times New Roman" w:cs="Times New Roman"/>
          <w:color w:val="0D0D0D" w:themeColor="text1" w:themeTint="F2"/>
          <w:sz w:val="24"/>
          <w:szCs w:val="24"/>
        </w:rPr>
        <w:t>T2D</w:t>
      </w:r>
      <w:r w:rsidR="00F238D3" w:rsidRPr="00842FE5">
        <w:rPr>
          <w:rFonts w:ascii="Times New Roman" w:hAnsi="Times New Roman" w:cs="Times New Roman"/>
          <w:color w:val="0D0D0D" w:themeColor="text1" w:themeTint="F2"/>
          <w:sz w:val="24"/>
          <w:szCs w:val="24"/>
        </w:rPr>
        <w:t>M</w:t>
      </w:r>
      <w:r w:rsidR="00900814" w:rsidRPr="00842FE5">
        <w:rPr>
          <w:rFonts w:ascii="Times New Roman" w:hAnsi="Times New Roman" w:cs="Times New Roman"/>
          <w:b/>
          <w:bCs/>
          <w:color w:val="0D0D0D" w:themeColor="text1" w:themeTint="F2"/>
          <w:sz w:val="24"/>
          <w:szCs w:val="24"/>
        </w:rPr>
        <w:t xml:space="preserve"> </w:t>
      </w:r>
      <w:r w:rsidR="003E1814" w:rsidRPr="00842FE5">
        <w:rPr>
          <w:rFonts w:ascii="Times New Roman" w:hAnsi="Times New Roman" w:cs="Times New Roman"/>
          <w:color w:val="0D0D0D" w:themeColor="text1" w:themeTint="F2"/>
          <w:sz w:val="24"/>
          <w:szCs w:val="24"/>
        </w:rPr>
        <w:t xml:space="preserve">uncontrolled on previous </w:t>
      </w:r>
      <w:r w:rsidR="00F01AF9" w:rsidRPr="00842FE5">
        <w:rPr>
          <w:rFonts w:ascii="Times New Roman" w:hAnsi="Times New Roman" w:cs="Times New Roman"/>
          <w:color w:val="0D0D0D" w:themeColor="text1" w:themeTint="F2"/>
          <w:sz w:val="24"/>
          <w:szCs w:val="24"/>
        </w:rPr>
        <w:t>BI</w:t>
      </w:r>
      <w:r w:rsidR="003E1814" w:rsidRPr="00842FE5">
        <w:rPr>
          <w:rFonts w:ascii="Times New Roman" w:hAnsi="Times New Roman" w:cs="Times New Roman"/>
          <w:b/>
          <w:bCs/>
          <w:color w:val="0D0D0D" w:themeColor="text1" w:themeTint="F2"/>
          <w:sz w:val="24"/>
          <w:szCs w:val="24"/>
        </w:rPr>
        <w:t xml:space="preserve"> </w:t>
      </w:r>
      <w:r w:rsidR="00241E67" w:rsidRPr="00842FE5">
        <w:rPr>
          <w:rFonts w:ascii="Times New Roman" w:hAnsi="Times New Roman" w:cs="Times New Roman"/>
          <w:color w:val="0D0D0D" w:themeColor="text1" w:themeTint="F2"/>
          <w:sz w:val="24"/>
          <w:szCs w:val="24"/>
        </w:rPr>
        <w:t xml:space="preserve">across </w:t>
      </w:r>
      <w:r w:rsidR="00C65F0A" w:rsidRPr="00842FE5">
        <w:rPr>
          <w:rFonts w:ascii="Times New Roman" w:hAnsi="Times New Roman" w:cs="Times New Roman"/>
          <w:color w:val="0D0D0D" w:themeColor="text1" w:themeTint="F2"/>
          <w:sz w:val="24"/>
          <w:szCs w:val="24"/>
        </w:rPr>
        <w:t xml:space="preserve">multiple </w:t>
      </w:r>
      <w:r w:rsidR="00241E67" w:rsidRPr="00842FE5">
        <w:rPr>
          <w:rFonts w:ascii="Times New Roman" w:hAnsi="Times New Roman" w:cs="Times New Roman"/>
          <w:color w:val="0D0D0D" w:themeColor="text1" w:themeTint="F2"/>
          <w:sz w:val="24"/>
          <w:szCs w:val="24"/>
        </w:rPr>
        <w:t>geographic regions</w:t>
      </w:r>
      <w:r w:rsidR="002027A0" w:rsidRPr="00842FE5">
        <w:rPr>
          <w:rFonts w:ascii="Times New Roman" w:hAnsi="Times New Roman" w:cs="Times New Roman"/>
          <w:color w:val="0D0D0D" w:themeColor="text1" w:themeTint="F2"/>
          <w:sz w:val="24"/>
          <w:szCs w:val="24"/>
        </w:rPr>
        <w:t>.</w:t>
      </w:r>
      <w:r w:rsidR="00ED7FB7" w:rsidRPr="00842FE5">
        <w:rPr>
          <w:rFonts w:ascii="Times New Roman" w:hAnsi="Times New Roman" w:cs="Times New Roman"/>
          <w:color w:val="0D0D0D" w:themeColor="text1" w:themeTint="F2"/>
          <w:sz w:val="24"/>
          <w:szCs w:val="24"/>
        </w:rPr>
        <w:br w:type="page"/>
      </w:r>
    </w:p>
    <w:p w14:paraId="7587C79C" w14:textId="532B9956" w:rsidR="003F7804" w:rsidRPr="00842FE5" w:rsidRDefault="004A244E" w:rsidP="00E04392">
      <w:pPr>
        <w:rPr>
          <w:rFonts w:ascii="Times New Roman" w:hAnsi="Times New Roman" w:cs="Times New Roman"/>
          <w:b/>
          <w:bCs/>
          <w:color w:val="0D0D0D" w:themeColor="text1" w:themeTint="F2"/>
          <w:sz w:val="24"/>
          <w:szCs w:val="24"/>
        </w:rPr>
      </w:pPr>
      <w:r w:rsidRPr="00842FE5">
        <w:rPr>
          <w:rFonts w:ascii="Times New Roman" w:hAnsi="Times New Roman" w:cs="Times New Roman"/>
          <w:b/>
          <w:bCs/>
          <w:color w:val="0D0D0D" w:themeColor="text1" w:themeTint="F2"/>
          <w:sz w:val="24"/>
          <w:szCs w:val="24"/>
        </w:rPr>
        <w:lastRenderedPageBreak/>
        <w:t>Introduction</w:t>
      </w:r>
    </w:p>
    <w:p w14:paraId="47DC3681" w14:textId="188CBCD4" w:rsidR="00671B41" w:rsidRPr="00842FE5" w:rsidRDefault="00671B41" w:rsidP="00671B41">
      <w:pPr>
        <w:tabs>
          <w:tab w:val="left" w:pos="3441"/>
        </w:tabs>
        <w:spacing w:line="480" w:lineRule="auto"/>
        <w:rPr>
          <w:rFonts w:ascii="Times New Roman" w:hAnsi="Times New Roman" w:cs="Times New Roman"/>
          <w:color w:val="0D0D0D" w:themeColor="text1" w:themeTint="F2"/>
          <w:sz w:val="24"/>
          <w:szCs w:val="24"/>
          <w:vertAlign w:val="superscript"/>
        </w:rPr>
      </w:pPr>
      <w:r w:rsidRPr="00842FE5">
        <w:rPr>
          <w:rFonts w:ascii="Times New Roman" w:hAnsi="Times New Roman" w:cs="Times New Roman"/>
          <w:color w:val="0D0D0D" w:themeColor="text1" w:themeTint="F2"/>
          <w:sz w:val="24"/>
          <w:szCs w:val="24"/>
        </w:rPr>
        <w:t xml:space="preserve">Insulin glargine 300 U/mL (Gla-300) </w:t>
      </w:r>
      <w:r w:rsidR="00FC2B66" w:rsidRPr="00842FE5">
        <w:rPr>
          <w:rFonts w:ascii="Times New Roman" w:hAnsi="Times New Roman" w:cs="Times New Roman"/>
          <w:color w:val="0D0D0D" w:themeColor="text1" w:themeTint="F2"/>
          <w:sz w:val="24"/>
          <w:szCs w:val="24"/>
        </w:rPr>
        <w:t xml:space="preserve">is </w:t>
      </w:r>
      <w:r w:rsidRPr="00842FE5">
        <w:rPr>
          <w:rFonts w:ascii="Times New Roman" w:hAnsi="Times New Roman" w:cs="Times New Roman"/>
          <w:color w:val="0D0D0D" w:themeColor="text1" w:themeTint="F2"/>
          <w:sz w:val="24"/>
          <w:szCs w:val="24"/>
        </w:rPr>
        <w:t xml:space="preserve">a </w:t>
      </w:r>
      <w:r w:rsidR="008B5216" w:rsidRPr="00842FE5">
        <w:rPr>
          <w:rFonts w:ascii="Times New Roman" w:hAnsi="Times New Roman" w:cs="Times New Roman"/>
          <w:color w:val="0D0D0D" w:themeColor="text1" w:themeTint="F2"/>
          <w:sz w:val="24"/>
          <w:szCs w:val="24"/>
        </w:rPr>
        <w:t>second-generation</w:t>
      </w:r>
      <w:r w:rsidRPr="00842FE5">
        <w:rPr>
          <w:rFonts w:ascii="Times New Roman" w:hAnsi="Times New Roman" w:cs="Times New Roman"/>
          <w:color w:val="0D0D0D" w:themeColor="text1" w:themeTint="F2"/>
          <w:sz w:val="24"/>
          <w:szCs w:val="24"/>
        </w:rPr>
        <w:t xml:space="preserve"> basal insulin (BI) </w:t>
      </w:r>
      <w:r w:rsidR="00FC2B66" w:rsidRPr="00842FE5">
        <w:rPr>
          <w:rFonts w:ascii="Times New Roman" w:hAnsi="Times New Roman" w:cs="Times New Roman"/>
          <w:color w:val="0D0D0D" w:themeColor="text1" w:themeTint="F2"/>
          <w:sz w:val="24"/>
          <w:szCs w:val="24"/>
        </w:rPr>
        <w:t xml:space="preserve">which </w:t>
      </w:r>
      <w:r w:rsidR="00BE784B" w:rsidRPr="00842FE5">
        <w:rPr>
          <w:rFonts w:ascii="Times New Roman" w:hAnsi="Times New Roman" w:cs="Times New Roman"/>
          <w:color w:val="0D0D0D" w:themeColor="text1" w:themeTint="F2"/>
          <w:sz w:val="24"/>
          <w:szCs w:val="24"/>
        </w:rPr>
        <w:t>has</w:t>
      </w:r>
      <w:r w:rsidR="00F84DD8" w:rsidRPr="00842FE5">
        <w:rPr>
          <w:rFonts w:ascii="Times New Roman" w:hAnsi="Times New Roman" w:cs="Times New Roman"/>
          <w:color w:val="0D0D0D" w:themeColor="text1" w:themeTint="F2"/>
          <w:sz w:val="24"/>
          <w:szCs w:val="24"/>
        </w:rPr>
        <w:t xml:space="preserve"> the </w:t>
      </w:r>
      <w:r w:rsidR="00BE784B" w:rsidRPr="00842FE5">
        <w:rPr>
          <w:rFonts w:ascii="Times New Roman" w:hAnsi="Times New Roman" w:cs="Times New Roman"/>
          <w:color w:val="0D0D0D" w:themeColor="text1" w:themeTint="F2"/>
          <w:sz w:val="24"/>
          <w:szCs w:val="24"/>
        </w:rPr>
        <w:t xml:space="preserve">potential </w:t>
      </w:r>
      <w:r w:rsidR="00F84DD8" w:rsidRPr="00842FE5">
        <w:rPr>
          <w:rFonts w:ascii="Times New Roman" w:hAnsi="Times New Roman" w:cs="Times New Roman"/>
          <w:color w:val="0D0D0D" w:themeColor="text1" w:themeTint="F2"/>
          <w:sz w:val="24"/>
          <w:szCs w:val="24"/>
        </w:rPr>
        <w:t xml:space="preserve">to </w:t>
      </w:r>
      <w:r w:rsidRPr="00842FE5">
        <w:rPr>
          <w:rFonts w:ascii="Times New Roman" w:hAnsi="Times New Roman" w:cs="Times New Roman"/>
          <w:color w:val="0D0D0D" w:themeColor="text1" w:themeTint="F2"/>
          <w:sz w:val="24"/>
          <w:szCs w:val="24"/>
        </w:rPr>
        <w:t xml:space="preserve">provide similar or improved glycaemic control </w:t>
      </w:r>
      <w:r w:rsidR="005F0F99" w:rsidRPr="00842FE5">
        <w:rPr>
          <w:rFonts w:ascii="Times New Roman" w:hAnsi="Times New Roman" w:cs="Times New Roman"/>
          <w:color w:val="0D0D0D" w:themeColor="text1" w:themeTint="F2"/>
          <w:sz w:val="24"/>
          <w:szCs w:val="24"/>
        </w:rPr>
        <w:t>owing to its stable and prolonged pharmacokinetic (PK) and pharmacodynamic (PD) profiles</w:t>
      </w:r>
      <w:r w:rsidR="00D84E89" w:rsidRPr="00842FE5">
        <w:rPr>
          <w:rFonts w:ascii="Times New Roman" w:hAnsi="Times New Roman" w:cs="Times New Roman"/>
          <w:color w:val="0D0D0D" w:themeColor="text1" w:themeTint="F2"/>
          <w:sz w:val="24"/>
          <w:szCs w:val="24"/>
        </w:rPr>
        <w:t xml:space="preserve"> </w:t>
      </w:r>
      <w:r w:rsidRPr="00842FE5">
        <w:rPr>
          <w:rFonts w:ascii="Times New Roman" w:hAnsi="Times New Roman" w:cs="Times New Roman"/>
          <w:color w:val="0D0D0D" w:themeColor="text1" w:themeTint="F2"/>
          <w:sz w:val="24"/>
          <w:szCs w:val="24"/>
        </w:rPr>
        <w:t xml:space="preserve">compared </w:t>
      </w:r>
      <w:r w:rsidR="00D41793" w:rsidRPr="00842FE5">
        <w:rPr>
          <w:rFonts w:ascii="Times New Roman" w:hAnsi="Times New Roman" w:cs="Times New Roman"/>
          <w:color w:val="0D0D0D" w:themeColor="text1" w:themeTint="F2"/>
          <w:sz w:val="24"/>
          <w:szCs w:val="24"/>
        </w:rPr>
        <w:t xml:space="preserve">with the </w:t>
      </w:r>
      <w:r w:rsidR="00685E92" w:rsidRPr="00842FE5">
        <w:rPr>
          <w:rFonts w:ascii="Times New Roman" w:hAnsi="Times New Roman" w:cs="Times New Roman"/>
          <w:color w:val="0D0D0D" w:themeColor="text1" w:themeTint="F2"/>
          <w:sz w:val="24"/>
          <w:szCs w:val="24"/>
        </w:rPr>
        <w:t>first</w:t>
      </w:r>
      <w:r w:rsidR="005F3F9B" w:rsidRPr="00842FE5">
        <w:rPr>
          <w:rFonts w:ascii="Times New Roman" w:hAnsi="Times New Roman" w:cs="Times New Roman"/>
          <w:color w:val="0D0D0D" w:themeColor="text1" w:themeTint="F2"/>
          <w:sz w:val="24"/>
          <w:szCs w:val="24"/>
        </w:rPr>
        <w:t>-</w:t>
      </w:r>
      <w:r w:rsidR="00685E92" w:rsidRPr="00842FE5">
        <w:rPr>
          <w:rFonts w:ascii="Times New Roman" w:hAnsi="Times New Roman" w:cs="Times New Roman"/>
          <w:color w:val="0D0D0D" w:themeColor="text1" w:themeTint="F2"/>
          <w:sz w:val="24"/>
          <w:szCs w:val="24"/>
        </w:rPr>
        <w:t xml:space="preserve">generation </w:t>
      </w:r>
      <w:r w:rsidR="005F3F9B" w:rsidRPr="00842FE5">
        <w:rPr>
          <w:rFonts w:ascii="Times New Roman" w:hAnsi="Times New Roman" w:cs="Times New Roman"/>
          <w:color w:val="0D0D0D" w:themeColor="text1" w:themeTint="F2"/>
          <w:sz w:val="24"/>
          <w:szCs w:val="24"/>
        </w:rPr>
        <w:t xml:space="preserve">basal insulin </w:t>
      </w:r>
      <w:r w:rsidRPr="00842FE5">
        <w:rPr>
          <w:rFonts w:ascii="Times New Roman" w:hAnsi="Times New Roman" w:cs="Times New Roman"/>
          <w:color w:val="0D0D0D" w:themeColor="text1" w:themeTint="F2"/>
          <w:sz w:val="24"/>
          <w:szCs w:val="24"/>
        </w:rPr>
        <w:t xml:space="preserve">glargine 100 U/mL </w:t>
      </w:r>
      <w:r w:rsidR="00BF4538" w:rsidRPr="00842FE5">
        <w:rPr>
          <w:rFonts w:ascii="Times New Roman" w:hAnsi="Times New Roman" w:cs="Times New Roman"/>
          <w:color w:val="0D0D0D" w:themeColor="text1" w:themeTint="F2"/>
          <w:sz w:val="24"/>
          <w:szCs w:val="24"/>
        </w:rPr>
        <w:t>(</w:t>
      </w:r>
      <w:r w:rsidRPr="00842FE5">
        <w:rPr>
          <w:rFonts w:ascii="Times New Roman" w:hAnsi="Times New Roman" w:cs="Times New Roman"/>
          <w:color w:val="0D0D0D" w:themeColor="text1" w:themeTint="F2"/>
          <w:sz w:val="24"/>
          <w:szCs w:val="24"/>
        </w:rPr>
        <w:t>Gla-100)</w:t>
      </w:r>
      <w:r w:rsidR="00FB0247" w:rsidRPr="00842FE5">
        <w:rPr>
          <w:rFonts w:ascii="Times New Roman" w:hAnsi="Times New Roman" w:cs="Times New Roman"/>
          <w:color w:val="0D0D0D" w:themeColor="text1" w:themeTint="F2"/>
          <w:sz w:val="24"/>
          <w:szCs w:val="24"/>
        </w:rPr>
        <w:t>,</w:t>
      </w:r>
      <w:r w:rsidRPr="00842FE5">
        <w:rPr>
          <w:rFonts w:ascii="Times New Roman" w:hAnsi="Times New Roman" w:cs="Times New Roman"/>
          <w:color w:val="0D0D0D" w:themeColor="text1" w:themeTint="F2"/>
          <w:sz w:val="24"/>
          <w:szCs w:val="24"/>
        </w:rPr>
        <w:t xml:space="preserve"> with a low</w:t>
      </w:r>
      <w:r w:rsidR="00335304" w:rsidRPr="00842FE5">
        <w:rPr>
          <w:rFonts w:ascii="Times New Roman" w:hAnsi="Times New Roman" w:cs="Times New Roman"/>
          <w:color w:val="0D0D0D" w:themeColor="text1" w:themeTint="F2"/>
          <w:sz w:val="24"/>
          <w:szCs w:val="24"/>
        </w:rPr>
        <w:t xml:space="preserve"> </w:t>
      </w:r>
      <w:r w:rsidRPr="00842FE5">
        <w:rPr>
          <w:rFonts w:ascii="Times New Roman" w:hAnsi="Times New Roman" w:cs="Times New Roman"/>
          <w:color w:val="0D0D0D" w:themeColor="text1" w:themeTint="F2"/>
          <w:sz w:val="24"/>
          <w:szCs w:val="24"/>
        </w:rPr>
        <w:t xml:space="preserve">risk </w:t>
      </w:r>
      <w:r w:rsidR="00C62DCA" w:rsidRPr="00842FE5">
        <w:rPr>
          <w:rFonts w:ascii="Times New Roman" w:hAnsi="Times New Roman" w:cs="Times New Roman"/>
          <w:color w:val="0D0D0D" w:themeColor="text1" w:themeTint="F2"/>
          <w:sz w:val="24"/>
          <w:szCs w:val="24"/>
        </w:rPr>
        <w:t xml:space="preserve">of </w:t>
      </w:r>
      <w:r w:rsidRPr="00842FE5">
        <w:rPr>
          <w:rFonts w:ascii="Times New Roman" w:hAnsi="Times New Roman" w:cs="Times New Roman"/>
          <w:color w:val="0D0D0D" w:themeColor="text1" w:themeTint="F2"/>
          <w:sz w:val="24"/>
          <w:szCs w:val="24"/>
        </w:rPr>
        <w:t xml:space="preserve">hypoglycaemia in people with type 2 diabetes </w:t>
      </w:r>
      <w:r w:rsidR="00AA6986" w:rsidRPr="00842FE5">
        <w:rPr>
          <w:rFonts w:ascii="Times New Roman" w:hAnsi="Times New Roman" w:cs="Times New Roman"/>
          <w:color w:val="0D0D0D" w:themeColor="text1" w:themeTint="F2"/>
          <w:sz w:val="24"/>
          <w:szCs w:val="24"/>
        </w:rPr>
        <w:t xml:space="preserve">mellitus </w:t>
      </w:r>
      <w:r w:rsidRPr="00842FE5">
        <w:rPr>
          <w:rFonts w:ascii="Times New Roman" w:hAnsi="Times New Roman" w:cs="Times New Roman"/>
          <w:color w:val="0D0D0D" w:themeColor="text1" w:themeTint="F2"/>
          <w:sz w:val="24"/>
          <w:szCs w:val="24"/>
        </w:rPr>
        <w:t>(T2D</w:t>
      </w:r>
      <w:r w:rsidR="00F238D3" w:rsidRPr="00842FE5">
        <w:rPr>
          <w:rFonts w:ascii="Times New Roman" w:hAnsi="Times New Roman" w:cs="Times New Roman"/>
          <w:color w:val="0D0D0D" w:themeColor="text1" w:themeTint="F2"/>
          <w:sz w:val="24"/>
          <w:szCs w:val="24"/>
        </w:rPr>
        <w:t>M</w:t>
      </w:r>
      <w:r w:rsidRPr="00842FE5">
        <w:rPr>
          <w:rFonts w:ascii="Times New Roman" w:hAnsi="Times New Roman" w:cs="Times New Roman"/>
          <w:color w:val="0D0D0D" w:themeColor="text1" w:themeTint="F2"/>
          <w:sz w:val="24"/>
          <w:szCs w:val="24"/>
        </w:rPr>
        <w:t>)</w:t>
      </w:r>
      <w:r w:rsidR="005F3F9B" w:rsidRPr="00842FE5">
        <w:rPr>
          <w:rFonts w:ascii="Times New Roman" w:hAnsi="Times New Roman" w:cs="Times New Roman"/>
          <w:color w:val="0D0D0D" w:themeColor="text1" w:themeTint="F2"/>
          <w:sz w:val="24"/>
          <w:szCs w:val="24"/>
        </w:rPr>
        <w:t xml:space="preserve"> </w:t>
      </w:r>
      <w:r w:rsidR="003561D0" w:rsidRPr="00842FE5">
        <w:rPr>
          <w:rFonts w:ascii="Times New Roman" w:hAnsi="Times New Roman" w:cs="Times New Roman"/>
          <w:color w:val="0D0D0D" w:themeColor="text1" w:themeTint="F2"/>
          <w:sz w:val="24"/>
          <w:szCs w:val="24"/>
        </w:rPr>
        <w:t>[1–4]</w:t>
      </w:r>
      <w:r w:rsidR="00BE1668" w:rsidRPr="00842FE5">
        <w:rPr>
          <w:rFonts w:ascii="Times New Roman" w:hAnsi="Times New Roman" w:cs="Times New Roman"/>
          <w:color w:val="0D0D0D" w:themeColor="text1" w:themeTint="F2"/>
          <w:sz w:val="24"/>
          <w:szCs w:val="24"/>
        </w:rPr>
        <w:t>.</w:t>
      </w:r>
      <w:r w:rsidRPr="00842FE5">
        <w:rPr>
          <w:rFonts w:ascii="Times New Roman" w:hAnsi="Times New Roman" w:cs="Times New Roman"/>
          <w:color w:val="0D0D0D" w:themeColor="text1" w:themeTint="F2"/>
          <w:sz w:val="24"/>
          <w:szCs w:val="24"/>
        </w:rPr>
        <w:t xml:space="preserve"> </w:t>
      </w:r>
      <w:r w:rsidR="002815B7" w:rsidRPr="00842FE5">
        <w:rPr>
          <w:rFonts w:ascii="Times New Roman" w:hAnsi="Times New Roman" w:cs="Times New Roman"/>
          <w:color w:val="0D0D0D" w:themeColor="text1" w:themeTint="F2"/>
          <w:sz w:val="24"/>
          <w:szCs w:val="24"/>
        </w:rPr>
        <w:t xml:space="preserve">Previous randomised </w:t>
      </w:r>
      <w:r w:rsidR="005457C3" w:rsidRPr="00842FE5">
        <w:rPr>
          <w:rFonts w:ascii="Times New Roman" w:hAnsi="Times New Roman" w:cs="Times New Roman"/>
          <w:color w:val="0D0D0D" w:themeColor="text1" w:themeTint="F2"/>
          <w:sz w:val="24"/>
          <w:szCs w:val="24"/>
        </w:rPr>
        <w:t xml:space="preserve">controlled </w:t>
      </w:r>
      <w:r w:rsidR="002815B7" w:rsidRPr="00842FE5">
        <w:rPr>
          <w:rFonts w:ascii="Times New Roman" w:hAnsi="Times New Roman" w:cs="Times New Roman"/>
          <w:color w:val="0D0D0D" w:themeColor="text1" w:themeTint="F2"/>
          <w:sz w:val="24"/>
          <w:szCs w:val="24"/>
        </w:rPr>
        <w:t>trials (RCTs) and real-world</w:t>
      </w:r>
      <w:r w:rsidR="003561D0" w:rsidRPr="00842FE5">
        <w:rPr>
          <w:rFonts w:ascii="Times New Roman" w:hAnsi="Times New Roman" w:cs="Times New Roman"/>
          <w:color w:val="0D0D0D" w:themeColor="text1" w:themeTint="F2"/>
          <w:sz w:val="24"/>
          <w:szCs w:val="24"/>
        </w:rPr>
        <w:t xml:space="preserve"> evidence</w:t>
      </w:r>
      <w:r w:rsidR="002815B7" w:rsidRPr="00842FE5">
        <w:rPr>
          <w:rFonts w:ascii="Times New Roman" w:hAnsi="Times New Roman" w:cs="Times New Roman"/>
          <w:color w:val="0D0D0D" w:themeColor="text1" w:themeTint="F2"/>
          <w:sz w:val="24"/>
          <w:szCs w:val="24"/>
        </w:rPr>
        <w:t xml:space="preserve"> (RWE) studies </w:t>
      </w:r>
      <w:r w:rsidR="005457C3" w:rsidRPr="00842FE5">
        <w:rPr>
          <w:rFonts w:ascii="Times New Roman" w:hAnsi="Times New Roman" w:cs="Times New Roman"/>
          <w:color w:val="0D0D0D" w:themeColor="text1" w:themeTint="F2"/>
          <w:sz w:val="24"/>
          <w:szCs w:val="24"/>
        </w:rPr>
        <w:t xml:space="preserve">have </w:t>
      </w:r>
      <w:r w:rsidR="002815B7" w:rsidRPr="00842FE5">
        <w:rPr>
          <w:rFonts w:ascii="Times New Roman" w:hAnsi="Times New Roman" w:cs="Times New Roman"/>
          <w:color w:val="0D0D0D" w:themeColor="text1" w:themeTint="F2"/>
          <w:sz w:val="24"/>
          <w:szCs w:val="24"/>
        </w:rPr>
        <w:t>confirm</w:t>
      </w:r>
      <w:r w:rsidR="005457C3" w:rsidRPr="00842FE5">
        <w:rPr>
          <w:rFonts w:ascii="Times New Roman" w:hAnsi="Times New Roman" w:cs="Times New Roman"/>
          <w:color w:val="0D0D0D" w:themeColor="text1" w:themeTint="F2"/>
          <w:sz w:val="24"/>
          <w:szCs w:val="24"/>
        </w:rPr>
        <w:t>ed</w:t>
      </w:r>
      <w:r w:rsidR="002815B7" w:rsidRPr="00842FE5">
        <w:rPr>
          <w:rFonts w:ascii="Times New Roman" w:hAnsi="Times New Roman" w:cs="Times New Roman"/>
          <w:color w:val="0D0D0D" w:themeColor="text1" w:themeTint="F2"/>
          <w:sz w:val="24"/>
          <w:szCs w:val="24"/>
        </w:rPr>
        <w:t xml:space="preserve"> the efficacy and safety of Gla-300 in people with diabetes</w:t>
      </w:r>
      <w:r w:rsidR="0003205C" w:rsidRPr="00842FE5">
        <w:rPr>
          <w:rFonts w:ascii="Times New Roman" w:hAnsi="Times New Roman" w:cs="Times New Roman"/>
          <w:color w:val="0D0D0D" w:themeColor="text1" w:themeTint="F2"/>
          <w:sz w:val="24"/>
          <w:szCs w:val="24"/>
        </w:rPr>
        <w:t>; however, these studies included participants mainly</w:t>
      </w:r>
      <w:r w:rsidR="002815B7" w:rsidRPr="00842FE5">
        <w:rPr>
          <w:rFonts w:ascii="Times New Roman" w:hAnsi="Times New Roman" w:cs="Times New Roman"/>
          <w:color w:val="0D0D0D" w:themeColor="text1" w:themeTint="F2"/>
          <w:sz w:val="24"/>
          <w:szCs w:val="24"/>
        </w:rPr>
        <w:t xml:space="preserve"> from </w:t>
      </w:r>
      <w:r w:rsidR="00807460" w:rsidRPr="00842FE5">
        <w:rPr>
          <w:rFonts w:ascii="Times New Roman" w:hAnsi="Times New Roman" w:cs="Times New Roman"/>
          <w:color w:val="0D0D0D" w:themeColor="text1" w:themeTint="F2"/>
          <w:sz w:val="24"/>
          <w:szCs w:val="24"/>
        </w:rPr>
        <w:t xml:space="preserve">North America and Western </w:t>
      </w:r>
      <w:r w:rsidR="0003205C" w:rsidRPr="00842FE5">
        <w:rPr>
          <w:rFonts w:ascii="Times New Roman" w:hAnsi="Times New Roman" w:cs="Times New Roman"/>
          <w:color w:val="0D0D0D" w:themeColor="text1" w:themeTint="F2"/>
          <w:sz w:val="24"/>
          <w:szCs w:val="24"/>
        </w:rPr>
        <w:t>Europe</w:t>
      </w:r>
      <w:r w:rsidR="005F3F9B" w:rsidRPr="00842FE5">
        <w:rPr>
          <w:rFonts w:ascii="Times New Roman" w:hAnsi="Times New Roman" w:cs="Times New Roman"/>
          <w:color w:val="0D0D0D" w:themeColor="text1" w:themeTint="F2"/>
          <w:sz w:val="24"/>
          <w:szCs w:val="24"/>
        </w:rPr>
        <w:t xml:space="preserve"> </w:t>
      </w:r>
      <w:r w:rsidR="003561D0" w:rsidRPr="00842FE5">
        <w:rPr>
          <w:rFonts w:ascii="Times New Roman" w:hAnsi="Times New Roman" w:cs="Times New Roman"/>
          <w:color w:val="0D0D0D" w:themeColor="text1" w:themeTint="F2"/>
          <w:sz w:val="24"/>
          <w:szCs w:val="24"/>
        </w:rPr>
        <w:t>[5–8]</w:t>
      </w:r>
      <w:r w:rsidR="00BE1668" w:rsidRPr="00842FE5">
        <w:rPr>
          <w:rFonts w:ascii="Times New Roman" w:hAnsi="Times New Roman" w:cs="Times New Roman"/>
          <w:color w:val="0D0D0D" w:themeColor="text1" w:themeTint="F2"/>
          <w:sz w:val="24"/>
          <w:szCs w:val="24"/>
        </w:rPr>
        <w:t>.</w:t>
      </w:r>
    </w:p>
    <w:p w14:paraId="04296152" w14:textId="0FE3C09D" w:rsidR="00671B41" w:rsidRPr="00842FE5" w:rsidRDefault="008B5216" w:rsidP="00671B41">
      <w:pPr>
        <w:tabs>
          <w:tab w:val="left" w:pos="3441"/>
        </w:tabs>
        <w:spacing w:line="480" w:lineRule="auto"/>
        <w:rPr>
          <w:rFonts w:ascii="Times New Roman" w:hAnsi="Times New Roman" w:cs="Times New Roman"/>
          <w:color w:val="0D0D0D" w:themeColor="text1" w:themeTint="F2"/>
          <w:sz w:val="24"/>
          <w:szCs w:val="24"/>
          <w:shd w:val="clear" w:color="auto" w:fill="FFFFFF"/>
        </w:rPr>
      </w:pPr>
      <w:r w:rsidRPr="00842FE5">
        <w:rPr>
          <w:rFonts w:ascii="Times New Roman" w:hAnsi="Times New Roman" w:cs="Times New Roman"/>
          <w:color w:val="0D0D0D" w:themeColor="text1" w:themeTint="F2"/>
          <w:sz w:val="24"/>
          <w:szCs w:val="24"/>
        </w:rPr>
        <w:t>T</w:t>
      </w:r>
      <w:r w:rsidR="00671B41" w:rsidRPr="00842FE5">
        <w:rPr>
          <w:rFonts w:ascii="Times New Roman" w:hAnsi="Times New Roman" w:cs="Times New Roman"/>
          <w:color w:val="0D0D0D" w:themeColor="text1" w:themeTint="F2"/>
          <w:sz w:val="24"/>
          <w:szCs w:val="24"/>
        </w:rPr>
        <w:t xml:space="preserve">he prevalence of diabetes has increased </w:t>
      </w:r>
      <w:r w:rsidR="00BD62B3" w:rsidRPr="00842FE5">
        <w:rPr>
          <w:rFonts w:ascii="Times New Roman" w:hAnsi="Times New Roman" w:cs="Times New Roman"/>
          <w:color w:val="0D0D0D" w:themeColor="text1" w:themeTint="F2"/>
          <w:sz w:val="24"/>
          <w:szCs w:val="24"/>
        </w:rPr>
        <w:t xml:space="preserve">at </w:t>
      </w:r>
      <w:r w:rsidR="00671B41" w:rsidRPr="00842FE5">
        <w:rPr>
          <w:rFonts w:ascii="Times New Roman" w:hAnsi="Times New Roman" w:cs="Times New Roman"/>
          <w:color w:val="0D0D0D" w:themeColor="text1" w:themeTint="F2"/>
          <w:sz w:val="24"/>
          <w:szCs w:val="24"/>
        </w:rPr>
        <w:t>an alarming rate in low</w:t>
      </w:r>
      <w:r w:rsidR="00AA6986" w:rsidRPr="00842FE5">
        <w:rPr>
          <w:rFonts w:ascii="Times New Roman" w:hAnsi="Times New Roman" w:cs="Times New Roman"/>
          <w:color w:val="0D0D0D" w:themeColor="text1" w:themeTint="F2"/>
          <w:sz w:val="24"/>
          <w:szCs w:val="24"/>
        </w:rPr>
        <w:t>-</w:t>
      </w:r>
      <w:r w:rsidR="00671B41" w:rsidRPr="00842FE5">
        <w:rPr>
          <w:rFonts w:ascii="Times New Roman" w:hAnsi="Times New Roman" w:cs="Times New Roman"/>
          <w:color w:val="0D0D0D" w:themeColor="text1" w:themeTint="F2"/>
          <w:sz w:val="24"/>
          <w:szCs w:val="24"/>
        </w:rPr>
        <w:t xml:space="preserve"> and middle-income countries </w:t>
      </w:r>
      <w:r w:rsidR="001E1614" w:rsidRPr="00842FE5">
        <w:rPr>
          <w:rFonts w:ascii="Times New Roman" w:hAnsi="Times New Roman" w:cs="Times New Roman"/>
          <w:color w:val="0D0D0D" w:themeColor="text1" w:themeTint="F2"/>
          <w:sz w:val="24"/>
          <w:szCs w:val="24"/>
        </w:rPr>
        <w:t>over the past few decades</w:t>
      </w:r>
      <w:r w:rsidR="002A5D72" w:rsidRPr="00842FE5">
        <w:rPr>
          <w:rFonts w:ascii="Times New Roman" w:hAnsi="Times New Roman" w:cs="Times New Roman"/>
          <w:color w:val="0D0D0D" w:themeColor="text1" w:themeTint="F2"/>
          <w:sz w:val="24"/>
          <w:szCs w:val="24"/>
        </w:rPr>
        <w:t xml:space="preserve"> </w:t>
      </w:r>
      <w:r w:rsidR="00396657" w:rsidRPr="00842FE5">
        <w:rPr>
          <w:rFonts w:ascii="Times New Roman" w:hAnsi="Times New Roman" w:cs="Times New Roman"/>
          <w:color w:val="0D0D0D" w:themeColor="text1" w:themeTint="F2"/>
          <w:sz w:val="24"/>
          <w:szCs w:val="24"/>
        </w:rPr>
        <w:t>[9]</w:t>
      </w:r>
      <w:r w:rsidR="00BE1668" w:rsidRPr="00842FE5">
        <w:rPr>
          <w:rFonts w:ascii="Times New Roman" w:hAnsi="Times New Roman" w:cs="Times New Roman"/>
          <w:color w:val="0D0D0D" w:themeColor="text1" w:themeTint="F2"/>
          <w:sz w:val="24"/>
          <w:szCs w:val="24"/>
        </w:rPr>
        <w:t>.</w:t>
      </w:r>
      <w:r w:rsidR="00671B41" w:rsidRPr="00842FE5">
        <w:rPr>
          <w:rFonts w:ascii="Times New Roman" w:hAnsi="Times New Roman" w:cs="Times New Roman"/>
          <w:color w:val="0D0D0D" w:themeColor="text1" w:themeTint="F2"/>
          <w:sz w:val="24"/>
          <w:szCs w:val="24"/>
        </w:rPr>
        <w:t xml:space="preserve"> The prevalence of diabetes has </w:t>
      </w:r>
      <w:r w:rsidR="00640923" w:rsidRPr="00842FE5">
        <w:rPr>
          <w:rFonts w:ascii="Times New Roman" w:hAnsi="Times New Roman" w:cs="Times New Roman"/>
          <w:color w:val="0D0D0D" w:themeColor="text1" w:themeTint="F2"/>
          <w:sz w:val="24"/>
          <w:szCs w:val="24"/>
        </w:rPr>
        <w:t xml:space="preserve">also </w:t>
      </w:r>
      <w:r w:rsidR="00671B41" w:rsidRPr="00842FE5">
        <w:rPr>
          <w:rFonts w:ascii="Times New Roman" w:hAnsi="Times New Roman" w:cs="Times New Roman"/>
          <w:color w:val="0D0D0D" w:themeColor="text1" w:themeTint="F2"/>
          <w:sz w:val="24"/>
          <w:szCs w:val="24"/>
        </w:rPr>
        <w:t>been</w:t>
      </w:r>
      <w:r w:rsidR="00640923" w:rsidRPr="00842FE5">
        <w:rPr>
          <w:rFonts w:ascii="Times New Roman" w:hAnsi="Times New Roman" w:cs="Times New Roman"/>
          <w:color w:val="0D0D0D" w:themeColor="text1" w:themeTint="F2"/>
          <w:sz w:val="24"/>
          <w:szCs w:val="24"/>
        </w:rPr>
        <w:t xml:space="preserve"> </w:t>
      </w:r>
      <w:r w:rsidR="00671B41" w:rsidRPr="00842FE5">
        <w:rPr>
          <w:rFonts w:ascii="Times New Roman" w:hAnsi="Times New Roman" w:cs="Times New Roman"/>
          <w:color w:val="0D0D0D" w:themeColor="text1" w:themeTint="F2"/>
          <w:sz w:val="24"/>
          <w:szCs w:val="24"/>
        </w:rPr>
        <w:t xml:space="preserve">increasing in regions like Asia, Latin America, </w:t>
      </w:r>
      <w:r w:rsidR="00E715D4" w:rsidRPr="00842FE5">
        <w:rPr>
          <w:rFonts w:ascii="Times New Roman" w:hAnsi="Times New Roman" w:cs="Times New Roman"/>
          <w:color w:val="0D0D0D" w:themeColor="text1" w:themeTint="F2"/>
          <w:sz w:val="24"/>
          <w:szCs w:val="24"/>
        </w:rPr>
        <w:t xml:space="preserve">and </w:t>
      </w:r>
      <w:r w:rsidR="00671B41" w:rsidRPr="00842FE5">
        <w:rPr>
          <w:rFonts w:ascii="Times New Roman" w:hAnsi="Times New Roman" w:cs="Times New Roman"/>
          <w:color w:val="0D0D0D" w:themeColor="text1" w:themeTint="F2"/>
          <w:sz w:val="24"/>
          <w:szCs w:val="24"/>
        </w:rPr>
        <w:t>Middle-East Africa,</w:t>
      </w:r>
      <w:r w:rsidR="00671B41" w:rsidRPr="00842FE5">
        <w:rPr>
          <w:rFonts w:ascii="Times New Roman" w:hAnsi="Times New Roman" w:cs="Times New Roman"/>
          <w:color w:val="0D0D0D" w:themeColor="text1" w:themeTint="F2"/>
          <w:sz w:val="24"/>
          <w:szCs w:val="24"/>
          <w:vertAlign w:val="superscript"/>
        </w:rPr>
        <w:t xml:space="preserve"> </w:t>
      </w:r>
      <w:r w:rsidR="00671B41" w:rsidRPr="00842FE5">
        <w:rPr>
          <w:rFonts w:ascii="Times New Roman" w:hAnsi="Times New Roman" w:cs="Times New Roman"/>
          <w:color w:val="0D0D0D" w:themeColor="text1" w:themeTint="F2"/>
          <w:sz w:val="24"/>
          <w:szCs w:val="24"/>
        </w:rPr>
        <w:t xml:space="preserve">which </w:t>
      </w:r>
      <w:r w:rsidR="0091346B" w:rsidRPr="00842FE5">
        <w:rPr>
          <w:rFonts w:ascii="Times New Roman" w:hAnsi="Times New Roman" w:cs="Times New Roman"/>
          <w:color w:val="0D0D0D" w:themeColor="text1" w:themeTint="F2"/>
          <w:sz w:val="24"/>
          <w:szCs w:val="24"/>
        </w:rPr>
        <w:t xml:space="preserve">has </w:t>
      </w:r>
      <w:r w:rsidR="00671B41" w:rsidRPr="00842FE5">
        <w:rPr>
          <w:rFonts w:ascii="Times New Roman" w:hAnsi="Times New Roman" w:cs="Times New Roman"/>
          <w:color w:val="0D0D0D" w:themeColor="text1" w:themeTint="F2"/>
          <w:sz w:val="24"/>
          <w:szCs w:val="24"/>
        </w:rPr>
        <w:t>contribute</w:t>
      </w:r>
      <w:r w:rsidR="00442DDE" w:rsidRPr="00842FE5">
        <w:rPr>
          <w:rFonts w:ascii="Times New Roman" w:hAnsi="Times New Roman" w:cs="Times New Roman"/>
          <w:color w:val="0D0D0D" w:themeColor="text1" w:themeTint="F2"/>
          <w:sz w:val="24"/>
          <w:szCs w:val="24"/>
        </w:rPr>
        <w:t>d</w:t>
      </w:r>
      <w:r w:rsidR="00671B41" w:rsidRPr="00842FE5">
        <w:rPr>
          <w:rFonts w:ascii="Times New Roman" w:hAnsi="Times New Roman" w:cs="Times New Roman"/>
          <w:color w:val="0D0D0D" w:themeColor="text1" w:themeTint="F2"/>
          <w:sz w:val="24"/>
          <w:szCs w:val="24"/>
        </w:rPr>
        <w:t xml:space="preserve"> to a significant increase in the diabetes population worldwide resulting in public health and economic challenges</w:t>
      </w:r>
      <w:r w:rsidR="002A5D72" w:rsidRPr="00842FE5">
        <w:rPr>
          <w:rFonts w:ascii="Times New Roman" w:hAnsi="Times New Roman" w:cs="Times New Roman"/>
          <w:color w:val="0D0D0D" w:themeColor="text1" w:themeTint="F2"/>
          <w:sz w:val="24"/>
          <w:szCs w:val="24"/>
        </w:rPr>
        <w:t xml:space="preserve"> </w:t>
      </w:r>
      <w:r w:rsidR="00396657" w:rsidRPr="00842FE5">
        <w:rPr>
          <w:rFonts w:ascii="Times New Roman" w:hAnsi="Times New Roman" w:cs="Times New Roman"/>
          <w:color w:val="0D0D0D" w:themeColor="text1" w:themeTint="F2"/>
          <w:sz w:val="24"/>
          <w:szCs w:val="24"/>
        </w:rPr>
        <w:t>[9–11]</w:t>
      </w:r>
      <w:r w:rsidR="00BE1668" w:rsidRPr="00842FE5">
        <w:rPr>
          <w:rFonts w:ascii="Times New Roman" w:hAnsi="Times New Roman" w:cs="Times New Roman"/>
          <w:color w:val="0D0D0D" w:themeColor="text1" w:themeTint="F2"/>
          <w:sz w:val="24"/>
          <w:szCs w:val="24"/>
        </w:rPr>
        <w:t>.</w:t>
      </w:r>
      <w:r w:rsidR="00396657" w:rsidRPr="00842FE5" w:rsidDel="00396657">
        <w:rPr>
          <w:rFonts w:ascii="Times New Roman" w:hAnsi="Times New Roman" w:cs="Times New Roman"/>
          <w:color w:val="0D0D0D" w:themeColor="text1" w:themeTint="F2"/>
          <w:sz w:val="24"/>
          <w:szCs w:val="24"/>
          <w:vertAlign w:val="superscript"/>
        </w:rPr>
        <w:t xml:space="preserve"> </w:t>
      </w:r>
      <w:r w:rsidR="00671B41" w:rsidRPr="00842FE5">
        <w:rPr>
          <w:rFonts w:ascii="Times New Roman" w:hAnsi="Times New Roman" w:cs="Times New Roman"/>
          <w:color w:val="0D0D0D" w:themeColor="text1" w:themeTint="F2"/>
          <w:sz w:val="24"/>
          <w:szCs w:val="24"/>
          <w:shd w:val="clear" w:color="auto" w:fill="FFFFFF"/>
        </w:rPr>
        <w:t>Ethnic difference</w:t>
      </w:r>
      <w:r w:rsidR="00E76A4C" w:rsidRPr="00842FE5">
        <w:rPr>
          <w:rFonts w:ascii="Times New Roman" w:hAnsi="Times New Roman" w:cs="Times New Roman"/>
          <w:color w:val="0D0D0D" w:themeColor="text1" w:themeTint="F2"/>
          <w:sz w:val="24"/>
          <w:szCs w:val="24"/>
          <w:shd w:val="clear" w:color="auto" w:fill="FFFFFF"/>
        </w:rPr>
        <w:t>s</w:t>
      </w:r>
      <w:r w:rsidR="00671B41" w:rsidRPr="00842FE5">
        <w:rPr>
          <w:rFonts w:ascii="Times New Roman" w:hAnsi="Times New Roman" w:cs="Times New Roman"/>
          <w:color w:val="0D0D0D" w:themeColor="text1" w:themeTint="F2"/>
          <w:sz w:val="24"/>
          <w:szCs w:val="24"/>
          <w:shd w:val="clear" w:color="auto" w:fill="FFFFFF"/>
        </w:rPr>
        <w:t xml:space="preserve"> across regions also play an important role in determining the prevalence of diabetes</w:t>
      </w:r>
      <w:r w:rsidR="00671B41" w:rsidRPr="00842FE5">
        <w:rPr>
          <w:rFonts w:ascii="Times New Roman" w:hAnsi="Times New Roman" w:cs="Times New Roman"/>
          <w:color w:val="0D0D0D" w:themeColor="text1" w:themeTint="F2"/>
          <w:sz w:val="24"/>
          <w:szCs w:val="24"/>
        </w:rPr>
        <w:t xml:space="preserve">. </w:t>
      </w:r>
      <w:r w:rsidR="00B66944" w:rsidRPr="00842FE5">
        <w:rPr>
          <w:rFonts w:ascii="Times New Roman" w:hAnsi="Times New Roman" w:cs="Times New Roman"/>
          <w:color w:val="0D0D0D" w:themeColor="text1" w:themeTint="F2"/>
          <w:sz w:val="24"/>
          <w:szCs w:val="24"/>
        </w:rPr>
        <w:t>The prevalence of T2D</w:t>
      </w:r>
      <w:r w:rsidR="00F238D3" w:rsidRPr="00842FE5">
        <w:rPr>
          <w:rFonts w:ascii="Times New Roman" w:hAnsi="Times New Roman" w:cs="Times New Roman"/>
          <w:color w:val="0D0D0D" w:themeColor="text1" w:themeTint="F2"/>
          <w:sz w:val="24"/>
          <w:szCs w:val="24"/>
        </w:rPr>
        <w:t>M</w:t>
      </w:r>
      <w:r w:rsidR="00B66944" w:rsidRPr="00842FE5">
        <w:rPr>
          <w:rFonts w:ascii="Times New Roman" w:hAnsi="Times New Roman" w:cs="Times New Roman"/>
          <w:color w:val="0D0D0D" w:themeColor="text1" w:themeTint="F2"/>
          <w:sz w:val="24"/>
          <w:szCs w:val="24"/>
        </w:rPr>
        <w:t xml:space="preserve"> is reported to be higher among p</w:t>
      </w:r>
      <w:r w:rsidR="003D01E7" w:rsidRPr="00842FE5">
        <w:rPr>
          <w:rFonts w:ascii="Times New Roman" w:hAnsi="Times New Roman" w:cs="Times New Roman"/>
          <w:color w:val="0D0D0D" w:themeColor="text1" w:themeTint="F2"/>
          <w:sz w:val="24"/>
          <w:szCs w:val="24"/>
        </w:rPr>
        <w:t xml:space="preserve">eople </w:t>
      </w:r>
      <w:r w:rsidR="007972AF" w:rsidRPr="00842FE5">
        <w:rPr>
          <w:rFonts w:ascii="Times New Roman" w:hAnsi="Times New Roman" w:cs="Times New Roman"/>
          <w:color w:val="0D0D0D" w:themeColor="text1" w:themeTint="F2"/>
          <w:sz w:val="24"/>
          <w:szCs w:val="24"/>
        </w:rPr>
        <w:t xml:space="preserve">of </w:t>
      </w:r>
      <w:r w:rsidR="00671B41" w:rsidRPr="00842FE5">
        <w:rPr>
          <w:rFonts w:ascii="Times New Roman" w:hAnsi="Times New Roman" w:cs="Times New Roman"/>
          <w:color w:val="0D0D0D" w:themeColor="text1" w:themeTint="F2"/>
          <w:sz w:val="24"/>
          <w:szCs w:val="24"/>
        </w:rPr>
        <w:t>Asian</w:t>
      </w:r>
      <w:r w:rsidR="00F7037B" w:rsidRPr="00842FE5">
        <w:rPr>
          <w:rFonts w:ascii="Times New Roman" w:hAnsi="Times New Roman" w:cs="Times New Roman"/>
          <w:color w:val="0D0D0D" w:themeColor="text1" w:themeTint="F2"/>
          <w:sz w:val="24"/>
          <w:szCs w:val="24"/>
        </w:rPr>
        <w:t xml:space="preserve">, African </w:t>
      </w:r>
      <w:r w:rsidR="003228BC" w:rsidRPr="00842FE5">
        <w:rPr>
          <w:rFonts w:ascii="Times New Roman" w:hAnsi="Times New Roman" w:cs="Times New Roman"/>
          <w:color w:val="0D0D0D" w:themeColor="text1" w:themeTint="F2"/>
          <w:sz w:val="24"/>
          <w:szCs w:val="24"/>
        </w:rPr>
        <w:t xml:space="preserve">or </w:t>
      </w:r>
      <w:r w:rsidR="00F7037B" w:rsidRPr="00842FE5">
        <w:rPr>
          <w:rFonts w:ascii="Times New Roman" w:hAnsi="Times New Roman" w:cs="Times New Roman"/>
          <w:color w:val="0D0D0D" w:themeColor="text1" w:themeTint="F2"/>
          <w:sz w:val="24"/>
          <w:szCs w:val="24"/>
        </w:rPr>
        <w:t xml:space="preserve">Hispanic </w:t>
      </w:r>
      <w:r w:rsidR="007972AF" w:rsidRPr="00842FE5">
        <w:rPr>
          <w:rFonts w:ascii="Times New Roman" w:hAnsi="Times New Roman" w:cs="Times New Roman"/>
          <w:color w:val="0D0D0D" w:themeColor="text1" w:themeTint="F2"/>
          <w:sz w:val="24"/>
          <w:szCs w:val="24"/>
        </w:rPr>
        <w:t xml:space="preserve">origin </w:t>
      </w:r>
      <w:r w:rsidR="003228BC" w:rsidRPr="00842FE5">
        <w:rPr>
          <w:rFonts w:ascii="Times New Roman" w:hAnsi="Times New Roman" w:cs="Times New Roman"/>
          <w:color w:val="0D0D0D" w:themeColor="text1" w:themeTint="F2"/>
          <w:sz w:val="24"/>
          <w:szCs w:val="24"/>
        </w:rPr>
        <w:t xml:space="preserve">when compared </w:t>
      </w:r>
      <w:r w:rsidR="0070425E" w:rsidRPr="00842FE5">
        <w:rPr>
          <w:rFonts w:ascii="Times New Roman" w:hAnsi="Times New Roman" w:cs="Times New Roman"/>
          <w:color w:val="0D0D0D" w:themeColor="text1" w:themeTint="F2"/>
          <w:sz w:val="24"/>
          <w:szCs w:val="24"/>
        </w:rPr>
        <w:t>with</w:t>
      </w:r>
      <w:r w:rsidR="00CD40E2" w:rsidRPr="00842FE5">
        <w:rPr>
          <w:rFonts w:ascii="Times New Roman" w:hAnsi="Times New Roman" w:cs="Times New Roman"/>
          <w:color w:val="0D0D0D" w:themeColor="text1" w:themeTint="F2"/>
          <w:sz w:val="24"/>
          <w:szCs w:val="24"/>
        </w:rPr>
        <w:t xml:space="preserve"> that in</w:t>
      </w:r>
      <w:r w:rsidR="0070425E" w:rsidRPr="00842FE5">
        <w:rPr>
          <w:rFonts w:ascii="Times New Roman" w:hAnsi="Times New Roman" w:cs="Times New Roman"/>
          <w:color w:val="0D0D0D" w:themeColor="text1" w:themeTint="F2"/>
          <w:sz w:val="24"/>
          <w:szCs w:val="24"/>
        </w:rPr>
        <w:t xml:space="preserve"> </w:t>
      </w:r>
      <w:r w:rsidR="003228BC" w:rsidRPr="00842FE5">
        <w:rPr>
          <w:rFonts w:ascii="Times New Roman" w:hAnsi="Times New Roman" w:cs="Times New Roman"/>
          <w:color w:val="0D0D0D" w:themeColor="text1" w:themeTint="F2"/>
          <w:sz w:val="24"/>
          <w:szCs w:val="24"/>
        </w:rPr>
        <w:t xml:space="preserve">non-Hispanic </w:t>
      </w:r>
      <w:r w:rsidR="003228BC" w:rsidRPr="000B2B0D">
        <w:rPr>
          <w:rFonts w:ascii="Times New Roman" w:hAnsi="Times New Roman" w:cs="Times New Roman"/>
          <w:color w:val="0D0D0D" w:themeColor="text1" w:themeTint="F2"/>
          <w:sz w:val="24"/>
          <w:szCs w:val="24"/>
        </w:rPr>
        <w:t>Whites</w:t>
      </w:r>
      <w:r w:rsidR="001A55AC">
        <w:rPr>
          <w:rFonts w:ascii="Times New Roman" w:hAnsi="Times New Roman" w:cs="Times New Roman"/>
          <w:color w:val="0D0D0D" w:themeColor="text1" w:themeTint="F2"/>
          <w:sz w:val="24"/>
          <w:szCs w:val="24"/>
        </w:rPr>
        <w:t xml:space="preserve"> [</w:t>
      </w:r>
      <w:r w:rsidR="001A55AC" w:rsidRPr="00842FE5">
        <w:rPr>
          <w:rFonts w:ascii="Times New Roman" w:hAnsi="Times New Roman" w:cs="Times New Roman"/>
          <w:color w:val="0D0D0D" w:themeColor="text1" w:themeTint="F2"/>
          <w:sz w:val="24"/>
          <w:szCs w:val="24"/>
        </w:rPr>
        <w:t>12–14</w:t>
      </w:r>
      <w:r w:rsidR="001A55AC">
        <w:rPr>
          <w:rFonts w:ascii="Times New Roman" w:hAnsi="Times New Roman" w:cs="Times New Roman"/>
          <w:color w:val="0D0D0D" w:themeColor="text1" w:themeTint="F2"/>
          <w:sz w:val="24"/>
          <w:szCs w:val="24"/>
        </w:rPr>
        <w:t>]</w:t>
      </w:r>
      <w:r w:rsidR="003228BC" w:rsidRPr="00842FE5">
        <w:rPr>
          <w:rFonts w:ascii="Times New Roman" w:hAnsi="Times New Roman" w:cs="Times New Roman"/>
          <w:color w:val="0D0D0D" w:themeColor="text1" w:themeTint="F2"/>
          <w:sz w:val="24"/>
          <w:szCs w:val="24"/>
        </w:rPr>
        <w:t>.</w:t>
      </w:r>
      <w:r w:rsidR="00671B41" w:rsidRPr="00842FE5">
        <w:rPr>
          <w:rFonts w:ascii="Times New Roman" w:hAnsi="Times New Roman" w:cs="Times New Roman"/>
          <w:color w:val="0D0D0D" w:themeColor="text1" w:themeTint="F2"/>
          <w:sz w:val="24"/>
          <w:szCs w:val="24"/>
        </w:rPr>
        <w:t xml:space="preserve"> </w:t>
      </w:r>
      <w:r w:rsidR="00A4577B" w:rsidRPr="00842FE5">
        <w:rPr>
          <w:rFonts w:ascii="Times New Roman" w:hAnsi="Times New Roman" w:cs="Times New Roman"/>
          <w:color w:val="0D0D0D" w:themeColor="text1" w:themeTint="F2"/>
          <w:sz w:val="24"/>
          <w:szCs w:val="24"/>
        </w:rPr>
        <w:t xml:space="preserve">Further, </w:t>
      </w:r>
      <w:r w:rsidR="004E1765" w:rsidRPr="00842FE5">
        <w:rPr>
          <w:rFonts w:ascii="Times New Roman" w:hAnsi="Times New Roman" w:cs="Times New Roman"/>
          <w:color w:val="0D0D0D" w:themeColor="text1" w:themeTint="F2"/>
          <w:sz w:val="24"/>
          <w:szCs w:val="24"/>
        </w:rPr>
        <w:t>diabetes onset is reported to occur at a young</w:t>
      </w:r>
      <w:r w:rsidR="00CD40E2" w:rsidRPr="00842FE5">
        <w:rPr>
          <w:rFonts w:ascii="Times New Roman" w:hAnsi="Times New Roman" w:cs="Times New Roman"/>
          <w:color w:val="0D0D0D" w:themeColor="text1" w:themeTint="F2"/>
          <w:sz w:val="24"/>
          <w:szCs w:val="24"/>
        </w:rPr>
        <w:t>er</w:t>
      </w:r>
      <w:r w:rsidR="004E1765" w:rsidRPr="00842FE5">
        <w:rPr>
          <w:rFonts w:ascii="Times New Roman" w:hAnsi="Times New Roman" w:cs="Times New Roman"/>
          <w:color w:val="0D0D0D" w:themeColor="text1" w:themeTint="F2"/>
          <w:sz w:val="24"/>
          <w:szCs w:val="24"/>
        </w:rPr>
        <w:t xml:space="preserve"> age and low</w:t>
      </w:r>
      <w:r w:rsidR="00CD40E2" w:rsidRPr="00842FE5">
        <w:rPr>
          <w:rFonts w:ascii="Times New Roman" w:hAnsi="Times New Roman" w:cs="Times New Roman"/>
          <w:color w:val="0D0D0D" w:themeColor="text1" w:themeTint="F2"/>
          <w:sz w:val="24"/>
          <w:szCs w:val="24"/>
        </w:rPr>
        <w:t>er</w:t>
      </w:r>
      <w:r w:rsidR="004E1765" w:rsidRPr="00842FE5">
        <w:rPr>
          <w:rFonts w:ascii="Times New Roman" w:hAnsi="Times New Roman" w:cs="Times New Roman"/>
          <w:color w:val="0D0D0D" w:themeColor="text1" w:themeTint="F2"/>
          <w:sz w:val="24"/>
          <w:szCs w:val="24"/>
        </w:rPr>
        <w:t xml:space="preserve"> </w:t>
      </w:r>
      <w:r w:rsidR="00CD40E2" w:rsidRPr="00842FE5">
        <w:rPr>
          <w:rFonts w:ascii="Times New Roman" w:hAnsi="Times New Roman" w:cs="Times New Roman"/>
          <w:color w:val="0D0D0D" w:themeColor="text1" w:themeTint="F2"/>
          <w:sz w:val="24"/>
          <w:szCs w:val="24"/>
        </w:rPr>
        <w:t>body mass index (</w:t>
      </w:r>
      <w:r w:rsidR="004E1765" w:rsidRPr="00842FE5">
        <w:rPr>
          <w:rFonts w:ascii="Times New Roman" w:hAnsi="Times New Roman" w:cs="Times New Roman"/>
          <w:color w:val="0D0D0D" w:themeColor="text1" w:themeTint="F2"/>
          <w:sz w:val="24"/>
          <w:szCs w:val="24"/>
        </w:rPr>
        <w:t>BMI</w:t>
      </w:r>
      <w:r w:rsidR="00CD40E2" w:rsidRPr="00842FE5">
        <w:rPr>
          <w:rFonts w:ascii="Times New Roman" w:hAnsi="Times New Roman" w:cs="Times New Roman"/>
          <w:color w:val="0D0D0D" w:themeColor="text1" w:themeTint="F2"/>
          <w:sz w:val="24"/>
          <w:szCs w:val="24"/>
        </w:rPr>
        <w:t>)</w:t>
      </w:r>
      <w:r w:rsidR="004E1765" w:rsidRPr="00842FE5">
        <w:rPr>
          <w:rFonts w:ascii="Times New Roman" w:hAnsi="Times New Roman" w:cs="Times New Roman"/>
          <w:color w:val="0D0D0D" w:themeColor="text1" w:themeTint="F2"/>
          <w:sz w:val="24"/>
          <w:szCs w:val="24"/>
        </w:rPr>
        <w:t xml:space="preserve"> </w:t>
      </w:r>
      <w:r w:rsidR="00A1189A" w:rsidRPr="00842FE5">
        <w:rPr>
          <w:rFonts w:ascii="Times New Roman" w:hAnsi="Times New Roman" w:cs="Times New Roman"/>
          <w:color w:val="0D0D0D" w:themeColor="text1" w:themeTint="F2"/>
          <w:sz w:val="24"/>
          <w:szCs w:val="24"/>
        </w:rPr>
        <w:t xml:space="preserve">in Asian populations, </w:t>
      </w:r>
      <w:r w:rsidR="0070330B" w:rsidRPr="00842FE5">
        <w:rPr>
          <w:rFonts w:ascii="Times New Roman" w:hAnsi="Times New Roman" w:cs="Times New Roman"/>
          <w:color w:val="0D0D0D" w:themeColor="text1" w:themeTint="F2"/>
          <w:sz w:val="24"/>
          <w:szCs w:val="24"/>
        </w:rPr>
        <w:t xml:space="preserve">resulting in a </w:t>
      </w:r>
      <w:r w:rsidR="00025554" w:rsidRPr="00842FE5">
        <w:rPr>
          <w:rFonts w:ascii="Times New Roman" w:hAnsi="Times New Roman" w:cs="Times New Roman"/>
          <w:color w:val="0D0D0D" w:themeColor="text1" w:themeTint="F2"/>
          <w:sz w:val="24"/>
          <w:szCs w:val="24"/>
        </w:rPr>
        <w:t xml:space="preserve">longer duration of diabetes </w:t>
      </w:r>
      <w:r w:rsidR="0070330B" w:rsidRPr="00842FE5">
        <w:rPr>
          <w:rFonts w:ascii="Times New Roman" w:hAnsi="Times New Roman" w:cs="Times New Roman"/>
          <w:color w:val="0D0D0D" w:themeColor="text1" w:themeTint="F2"/>
          <w:sz w:val="24"/>
          <w:szCs w:val="24"/>
        </w:rPr>
        <w:t>and high risk of complications</w:t>
      </w:r>
      <w:r w:rsidR="00DC68D5" w:rsidRPr="00842FE5">
        <w:rPr>
          <w:rFonts w:ascii="Times New Roman" w:hAnsi="Times New Roman" w:cs="Times New Roman"/>
          <w:color w:val="0D0D0D" w:themeColor="text1" w:themeTint="F2"/>
          <w:sz w:val="24"/>
          <w:szCs w:val="24"/>
        </w:rPr>
        <w:t xml:space="preserve"> </w:t>
      </w:r>
      <w:r w:rsidR="00B51DC0" w:rsidRPr="00842FE5">
        <w:rPr>
          <w:rFonts w:ascii="Times New Roman" w:hAnsi="Times New Roman" w:cs="Times New Roman"/>
          <w:color w:val="0D0D0D" w:themeColor="text1" w:themeTint="F2"/>
          <w:sz w:val="24"/>
          <w:szCs w:val="24"/>
        </w:rPr>
        <w:t>[12</w:t>
      </w:r>
      <w:r w:rsidR="00401947" w:rsidRPr="00842FE5">
        <w:rPr>
          <w:rFonts w:ascii="Times New Roman" w:hAnsi="Times New Roman" w:cs="Times New Roman"/>
          <w:color w:val="0D0D0D" w:themeColor="text1" w:themeTint="F2"/>
          <w:sz w:val="24"/>
          <w:szCs w:val="24"/>
        </w:rPr>
        <w:t>–</w:t>
      </w:r>
      <w:r w:rsidR="00B51DC0" w:rsidRPr="00842FE5">
        <w:rPr>
          <w:rFonts w:ascii="Times New Roman" w:hAnsi="Times New Roman" w:cs="Times New Roman"/>
          <w:color w:val="0D0D0D" w:themeColor="text1" w:themeTint="F2"/>
          <w:sz w:val="24"/>
          <w:szCs w:val="24"/>
        </w:rPr>
        <w:t>14]</w:t>
      </w:r>
      <w:r w:rsidR="00671B41" w:rsidRPr="00842FE5">
        <w:rPr>
          <w:rFonts w:ascii="Times New Roman" w:hAnsi="Times New Roman" w:cs="Times New Roman"/>
          <w:color w:val="0D0D0D" w:themeColor="text1" w:themeTint="F2"/>
          <w:sz w:val="24"/>
          <w:szCs w:val="24"/>
        </w:rPr>
        <w:t>.</w:t>
      </w:r>
      <w:r w:rsidR="00274135" w:rsidRPr="00842FE5">
        <w:rPr>
          <w:rFonts w:ascii="Times New Roman" w:hAnsi="Times New Roman" w:cs="Times New Roman"/>
          <w:color w:val="0D0D0D" w:themeColor="text1" w:themeTint="F2"/>
          <w:sz w:val="24"/>
          <w:szCs w:val="24"/>
        </w:rPr>
        <w:t xml:space="preserve"> </w:t>
      </w:r>
      <w:r w:rsidR="008735BC" w:rsidRPr="00842FE5">
        <w:rPr>
          <w:rFonts w:ascii="Times New Roman" w:hAnsi="Times New Roman" w:cs="Times New Roman"/>
          <w:color w:val="0D0D0D" w:themeColor="text1" w:themeTint="F2"/>
          <w:sz w:val="24"/>
          <w:szCs w:val="24"/>
          <w:shd w:val="clear" w:color="auto" w:fill="FFFFFF"/>
        </w:rPr>
        <w:t>The prevalence of T2D</w:t>
      </w:r>
      <w:r w:rsidR="00F238D3" w:rsidRPr="00842FE5">
        <w:rPr>
          <w:rFonts w:ascii="Times New Roman" w:hAnsi="Times New Roman" w:cs="Times New Roman"/>
          <w:color w:val="0D0D0D" w:themeColor="text1" w:themeTint="F2"/>
          <w:sz w:val="24"/>
          <w:szCs w:val="24"/>
          <w:shd w:val="clear" w:color="auto" w:fill="FFFFFF"/>
        </w:rPr>
        <w:t>M</w:t>
      </w:r>
      <w:r w:rsidR="008735BC" w:rsidRPr="00842FE5">
        <w:rPr>
          <w:rFonts w:ascii="Times New Roman" w:hAnsi="Times New Roman" w:cs="Times New Roman"/>
          <w:color w:val="0D0D0D" w:themeColor="text1" w:themeTint="F2"/>
          <w:sz w:val="24"/>
          <w:szCs w:val="24"/>
          <w:shd w:val="clear" w:color="auto" w:fill="FFFFFF"/>
        </w:rPr>
        <w:t xml:space="preserve"> is greater among Hispanic/Latin-American adults in the </w:t>
      </w:r>
      <w:r w:rsidR="00377019" w:rsidRPr="00842FE5">
        <w:rPr>
          <w:rFonts w:ascii="Times New Roman" w:hAnsi="Times New Roman" w:cs="Times New Roman"/>
          <w:color w:val="0D0D0D" w:themeColor="text1" w:themeTint="F2"/>
          <w:sz w:val="24"/>
          <w:szCs w:val="24"/>
        </w:rPr>
        <w:t>United States</w:t>
      </w:r>
      <w:r w:rsidR="00831D62" w:rsidRPr="00842FE5">
        <w:rPr>
          <w:rFonts w:ascii="Times New Roman" w:hAnsi="Times New Roman" w:cs="Times New Roman"/>
          <w:color w:val="0D0D0D" w:themeColor="text1" w:themeTint="F2"/>
          <w:sz w:val="24"/>
          <w:szCs w:val="24"/>
        </w:rPr>
        <w:t xml:space="preserve"> (US)</w:t>
      </w:r>
      <w:r w:rsidR="008735BC" w:rsidRPr="00842FE5">
        <w:rPr>
          <w:rFonts w:ascii="Times New Roman" w:hAnsi="Times New Roman" w:cs="Times New Roman"/>
          <w:color w:val="0D0D0D" w:themeColor="text1" w:themeTint="F2"/>
          <w:sz w:val="24"/>
          <w:szCs w:val="24"/>
          <w:shd w:val="clear" w:color="auto" w:fill="FFFFFF"/>
        </w:rPr>
        <w:t xml:space="preserve"> compared to non-Hispanic Whites, which may be attributed to the </w:t>
      </w:r>
      <w:r w:rsidR="003057CA" w:rsidRPr="00842FE5">
        <w:rPr>
          <w:rFonts w:ascii="Times New Roman" w:hAnsi="Times New Roman" w:cs="Times New Roman"/>
          <w:color w:val="0D0D0D" w:themeColor="text1" w:themeTint="F2"/>
          <w:sz w:val="24"/>
          <w:szCs w:val="24"/>
          <w:shd w:val="clear" w:color="auto" w:fill="FFFFFF"/>
        </w:rPr>
        <w:t xml:space="preserve">sociocultural as well as genetic factors </w:t>
      </w:r>
      <w:r w:rsidR="0029096B" w:rsidRPr="00842FE5">
        <w:rPr>
          <w:rFonts w:ascii="Times New Roman" w:hAnsi="Times New Roman" w:cs="Times New Roman"/>
          <w:color w:val="0D0D0D" w:themeColor="text1" w:themeTint="F2"/>
          <w:sz w:val="24"/>
          <w:szCs w:val="24"/>
          <w:shd w:val="clear" w:color="auto" w:fill="FFFFFF"/>
        </w:rPr>
        <w:t xml:space="preserve">that increase </w:t>
      </w:r>
      <w:r w:rsidR="00C232FE" w:rsidRPr="00842FE5">
        <w:rPr>
          <w:rFonts w:ascii="Times New Roman" w:hAnsi="Times New Roman" w:cs="Times New Roman"/>
          <w:color w:val="0D0D0D" w:themeColor="text1" w:themeTint="F2"/>
          <w:sz w:val="24"/>
          <w:szCs w:val="24"/>
          <w:shd w:val="clear" w:color="auto" w:fill="FFFFFF"/>
        </w:rPr>
        <w:t xml:space="preserve">obesity and </w:t>
      </w:r>
      <w:r w:rsidR="00EE32DB" w:rsidRPr="00842FE5">
        <w:rPr>
          <w:rFonts w:ascii="Times New Roman" w:hAnsi="Times New Roman" w:cs="Times New Roman"/>
          <w:color w:val="0D0D0D" w:themeColor="text1" w:themeTint="F2"/>
          <w:sz w:val="24"/>
          <w:szCs w:val="24"/>
          <w:shd w:val="clear" w:color="auto" w:fill="FFFFFF"/>
        </w:rPr>
        <w:t>insulin resistance</w:t>
      </w:r>
      <w:r w:rsidR="00DC68D5" w:rsidRPr="00842FE5">
        <w:rPr>
          <w:rFonts w:ascii="Times New Roman" w:hAnsi="Times New Roman" w:cs="Times New Roman"/>
          <w:color w:val="0D0D0D" w:themeColor="text1" w:themeTint="F2"/>
          <w:sz w:val="24"/>
          <w:szCs w:val="24"/>
          <w:shd w:val="clear" w:color="auto" w:fill="FFFFFF"/>
        </w:rPr>
        <w:t xml:space="preserve"> </w:t>
      </w:r>
      <w:r w:rsidR="0097580B" w:rsidRPr="00842FE5">
        <w:rPr>
          <w:rFonts w:ascii="Times New Roman" w:hAnsi="Times New Roman" w:cs="Times New Roman"/>
          <w:color w:val="0D0D0D" w:themeColor="text1" w:themeTint="F2"/>
          <w:sz w:val="24"/>
          <w:szCs w:val="24"/>
          <w:shd w:val="clear" w:color="auto" w:fill="FFFFFF"/>
        </w:rPr>
        <w:t>[15,16]</w:t>
      </w:r>
      <w:r w:rsidR="00BE1668" w:rsidRPr="00842FE5">
        <w:rPr>
          <w:rFonts w:ascii="Times New Roman" w:hAnsi="Times New Roman" w:cs="Times New Roman"/>
          <w:color w:val="0D0D0D" w:themeColor="text1" w:themeTint="F2"/>
          <w:sz w:val="24"/>
          <w:szCs w:val="24"/>
          <w:shd w:val="clear" w:color="auto" w:fill="FFFFFF"/>
        </w:rPr>
        <w:t>.</w:t>
      </w:r>
      <w:r w:rsidR="003A1A37" w:rsidRPr="00842FE5">
        <w:rPr>
          <w:rFonts w:ascii="Times New Roman" w:hAnsi="Times New Roman" w:cs="Times New Roman"/>
          <w:color w:val="0D0D0D" w:themeColor="text1" w:themeTint="F2"/>
          <w:sz w:val="24"/>
          <w:szCs w:val="24"/>
          <w:shd w:val="clear" w:color="auto" w:fill="FFFFFF"/>
        </w:rPr>
        <w:t xml:space="preserve"> </w:t>
      </w:r>
      <w:r w:rsidR="00907908" w:rsidRPr="00842FE5">
        <w:rPr>
          <w:rFonts w:ascii="Times New Roman" w:hAnsi="Times New Roman" w:cs="Times New Roman"/>
          <w:color w:val="0D0D0D" w:themeColor="text1" w:themeTint="F2"/>
          <w:sz w:val="24"/>
          <w:szCs w:val="24"/>
          <w:shd w:val="clear" w:color="auto" w:fill="FFFFFF"/>
        </w:rPr>
        <w:t>The International Diabetes Management Practices Study, a large real-world observational study, included &gt;66</w:t>
      </w:r>
      <w:r w:rsidR="001E5BBF" w:rsidRPr="00842FE5">
        <w:rPr>
          <w:rFonts w:ascii="Times New Roman" w:hAnsi="Times New Roman" w:cs="Times New Roman"/>
          <w:color w:val="0D0D0D" w:themeColor="text1" w:themeTint="F2"/>
          <w:sz w:val="24"/>
          <w:szCs w:val="24"/>
          <w:shd w:val="clear" w:color="auto" w:fill="FFFFFF"/>
        </w:rPr>
        <w:t>,</w:t>
      </w:r>
      <w:r w:rsidR="00907908" w:rsidRPr="00842FE5">
        <w:rPr>
          <w:rFonts w:ascii="Times New Roman" w:hAnsi="Times New Roman" w:cs="Times New Roman"/>
          <w:color w:val="0D0D0D" w:themeColor="text1" w:themeTint="F2"/>
          <w:sz w:val="24"/>
          <w:szCs w:val="24"/>
          <w:shd w:val="clear" w:color="auto" w:fill="FFFFFF"/>
        </w:rPr>
        <w:t>000 participants over 12 years from 49 developing countries across geographic regions such as Asia, Middle-East, Africa, Latin America and Eurasia. The study showed that glycaemic control remains suboptimal (15–25%) among insulin-treated people with T2D</w:t>
      </w:r>
      <w:r w:rsidR="00F238D3" w:rsidRPr="00842FE5">
        <w:rPr>
          <w:rFonts w:ascii="Times New Roman" w:hAnsi="Times New Roman" w:cs="Times New Roman"/>
          <w:color w:val="0D0D0D" w:themeColor="text1" w:themeTint="F2"/>
          <w:sz w:val="24"/>
          <w:szCs w:val="24"/>
          <w:shd w:val="clear" w:color="auto" w:fill="FFFFFF"/>
        </w:rPr>
        <w:t>M</w:t>
      </w:r>
      <w:r w:rsidR="00907908" w:rsidRPr="00842FE5">
        <w:rPr>
          <w:rFonts w:ascii="Times New Roman" w:hAnsi="Times New Roman" w:cs="Times New Roman"/>
          <w:color w:val="0D0D0D" w:themeColor="text1" w:themeTint="F2"/>
          <w:sz w:val="24"/>
          <w:szCs w:val="24"/>
          <w:shd w:val="clear" w:color="auto" w:fill="FFFFFF"/>
        </w:rPr>
        <w:t>, despite an increase in the proportion of participants on insulin therapy over time</w:t>
      </w:r>
      <w:r w:rsidR="007C7225" w:rsidRPr="00842FE5">
        <w:rPr>
          <w:rFonts w:ascii="Times New Roman" w:hAnsi="Times New Roman" w:cs="Times New Roman"/>
          <w:color w:val="0D0D0D" w:themeColor="text1" w:themeTint="F2"/>
          <w:sz w:val="24"/>
          <w:szCs w:val="24"/>
          <w:shd w:val="clear" w:color="auto" w:fill="FFFFFF"/>
        </w:rPr>
        <w:t xml:space="preserve"> </w:t>
      </w:r>
      <w:r w:rsidR="001E5BBF" w:rsidRPr="00842FE5">
        <w:rPr>
          <w:rFonts w:ascii="Times New Roman" w:hAnsi="Times New Roman" w:cs="Times New Roman"/>
          <w:color w:val="0D0D0D" w:themeColor="text1" w:themeTint="F2"/>
          <w:sz w:val="24"/>
          <w:szCs w:val="24"/>
          <w:shd w:val="clear" w:color="auto" w:fill="FFFFFF"/>
        </w:rPr>
        <w:t>[17]</w:t>
      </w:r>
      <w:r w:rsidR="00BE1668" w:rsidRPr="00842FE5">
        <w:rPr>
          <w:rFonts w:ascii="Times New Roman" w:hAnsi="Times New Roman" w:cs="Times New Roman"/>
          <w:color w:val="0D0D0D" w:themeColor="text1" w:themeTint="F2"/>
          <w:sz w:val="24"/>
          <w:szCs w:val="24"/>
          <w:shd w:val="clear" w:color="auto" w:fill="FFFFFF"/>
        </w:rPr>
        <w:t>.</w:t>
      </w:r>
    </w:p>
    <w:p w14:paraId="42873266" w14:textId="0EEA8BF5" w:rsidR="00671B41" w:rsidRPr="00842FE5" w:rsidRDefault="00671B41" w:rsidP="00671B41">
      <w:pPr>
        <w:tabs>
          <w:tab w:val="left" w:pos="3441"/>
        </w:tabs>
        <w:spacing w:line="480" w:lineRule="auto"/>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However, there is limited data</w:t>
      </w:r>
      <w:r w:rsidR="00E941F9" w:rsidRPr="00842FE5">
        <w:rPr>
          <w:rFonts w:ascii="Times New Roman" w:hAnsi="Times New Roman" w:cs="Times New Roman"/>
          <w:color w:val="0D0D0D" w:themeColor="text1" w:themeTint="F2"/>
          <w:sz w:val="24"/>
          <w:szCs w:val="24"/>
        </w:rPr>
        <w:t xml:space="preserve"> </w:t>
      </w:r>
      <w:r w:rsidR="00E51CD1" w:rsidRPr="00842FE5">
        <w:rPr>
          <w:rFonts w:ascii="Times New Roman" w:hAnsi="Times New Roman" w:cs="Times New Roman"/>
          <w:color w:val="0D0D0D" w:themeColor="text1" w:themeTint="F2"/>
          <w:sz w:val="24"/>
          <w:szCs w:val="24"/>
        </w:rPr>
        <w:t xml:space="preserve">on the efficacy </w:t>
      </w:r>
      <w:r w:rsidR="00E941F9" w:rsidRPr="00842FE5">
        <w:rPr>
          <w:rFonts w:ascii="Times New Roman" w:hAnsi="Times New Roman" w:cs="Times New Roman"/>
          <w:color w:val="0D0D0D" w:themeColor="text1" w:themeTint="F2"/>
          <w:sz w:val="24"/>
          <w:szCs w:val="24"/>
        </w:rPr>
        <w:t xml:space="preserve">of Gla-300 </w:t>
      </w:r>
      <w:r w:rsidR="00E51CD1" w:rsidRPr="00842FE5">
        <w:rPr>
          <w:rFonts w:ascii="Times New Roman" w:hAnsi="Times New Roman" w:cs="Times New Roman"/>
          <w:color w:val="0D0D0D" w:themeColor="text1" w:themeTint="F2"/>
          <w:sz w:val="24"/>
          <w:szCs w:val="24"/>
        </w:rPr>
        <w:t>i</w:t>
      </w:r>
      <w:r w:rsidR="00E941F9" w:rsidRPr="00842FE5">
        <w:rPr>
          <w:rFonts w:ascii="Times New Roman" w:hAnsi="Times New Roman" w:cs="Times New Roman"/>
          <w:color w:val="0D0D0D" w:themeColor="text1" w:themeTint="F2"/>
          <w:sz w:val="24"/>
          <w:szCs w:val="24"/>
        </w:rPr>
        <w:t>n</w:t>
      </w:r>
      <w:r w:rsidR="00E51CD1" w:rsidRPr="00842FE5">
        <w:rPr>
          <w:rFonts w:ascii="Times New Roman" w:hAnsi="Times New Roman" w:cs="Times New Roman"/>
          <w:color w:val="0D0D0D" w:themeColor="text1" w:themeTint="F2"/>
          <w:sz w:val="24"/>
          <w:szCs w:val="24"/>
        </w:rPr>
        <w:t xml:space="preserve"> people with</w:t>
      </w:r>
      <w:r w:rsidR="00E941F9" w:rsidRPr="00842FE5">
        <w:rPr>
          <w:rFonts w:ascii="Times New Roman" w:hAnsi="Times New Roman" w:cs="Times New Roman"/>
          <w:color w:val="0D0D0D" w:themeColor="text1" w:themeTint="F2"/>
          <w:sz w:val="24"/>
          <w:szCs w:val="24"/>
        </w:rPr>
        <w:t xml:space="preserve"> T2D</w:t>
      </w:r>
      <w:r w:rsidR="00F238D3" w:rsidRPr="00842FE5">
        <w:rPr>
          <w:rFonts w:ascii="Times New Roman" w:hAnsi="Times New Roman" w:cs="Times New Roman"/>
          <w:color w:val="0D0D0D" w:themeColor="text1" w:themeTint="F2"/>
          <w:sz w:val="24"/>
          <w:szCs w:val="24"/>
        </w:rPr>
        <w:t>M</w:t>
      </w:r>
      <w:r w:rsidR="00E941F9" w:rsidRPr="00842FE5">
        <w:rPr>
          <w:rFonts w:ascii="Times New Roman" w:hAnsi="Times New Roman" w:cs="Times New Roman"/>
          <w:color w:val="0D0D0D" w:themeColor="text1" w:themeTint="F2"/>
          <w:sz w:val="24"/>
          <w:szCs w:val="24"/>
        </w:rPr>
        <w:t xml:space="preserve"> uncontrolled on previous BI </w:t>
      </w:r>
      <w:r w:rsidRPr="00842FE5">
        <w:rPr>
          <w:rFonts w:ascii="Times New Roman" w:hAnsi="Times New Roman" w:cs="Times New Roman"/>
          <w:color w:val="0D0D0D" w:themeColor="text1" w:themeTint="F2"/>
          <w:sz w:val="24"/>
          <w:szCs w:val="24"/>
        </w:rPr>
        <w:t>from geographic regions</w:t>
      </w:r>
      <w:r w:rsidR="004C42C9" w:rsidRPr="00842FE5">
        <w:rPr>
          <w:rFonts w:ascii="Times New Roman" w:hAnsi="Times New Roman" w:cs="Times New Roman"/>
          <w:color w:val="0D0D0D" w:themeColor="text1" w:themeTint="F2"/>
          <w:sz w:val="24"/>
          <w:szCs w:val="24"/>
        </w:rPr>
        <w:t xml:space="preserve"> outside </w:t>
      </w:r>
      <w:r w:rsidR="004C7B61" w:rsidRPr="00842FE5">
        <w:rPr>
          <w:rFonts w:ascii="Times New Roman" w:hAnsi="Times New Roman" w:cs="Times New Roman"/>
          <w:color w:val="0D0D0D" w:themeColor="text1" w:themeTint="F2"/>
          <w:sz w:val="24"/>
          <w:szCs w:val="24"/>
        </w:rPr>
        <w:t xml:space="preserve">the </w:t>
      </w:r>
      <w:r w:rsidR="00831D62" w:rsidRPr="00842FE5">
        <w:rPr>
          <w:rFonts w:ascii="Times New Roman" w:hAnsi="Times New Roman" w:cs="Times New Roman"/>
          <w:color w:val="0D0D0D" w:themeColor="text1" w:themeTint="F2"/>
          <w:sz w:val="24"/>
          <w:szCs w:val="24"/>
        </w:rPr>
        <w:t>US</w:t>
      </w:r>
      <w:r w:rsidR="004C7B61" w:rsidRPr="00842FE5">
        <w:rPr>
          <w:rFonts w:ascii="Times New Roman" w:hAnsi="Times New Roman" w:cs="Times New Roman"/>
          <w:color w:val="0D0D0D" w:themeColor="text1" w:themeTint="F2"/>
          <w:sz w:val="24"/>
          <w:szCs w:val="24"/>
        </w:rPr>
        <w:t xml:space="preserve"> </w:t>
      </w:r>
      <w:r w:rsidR="004C42C9" w:rsidRPr="00842FE5">
        <w:rPr>
          <w:rFonts w:ascii="Times New Roman" w:hAnsi="Times New Roman" w:cs="Times New Roman"/>
          <w:color w:val="0D0D0D" w:themeColor="text1" w:themeTint="F2"/>
          <w:sz w:val="24"/>
          <w:szCs w:val="24"/>
        </w:rPr>
        <w:t>and Europe</w:t>
      </w:r>
      <w:r w:rsidRPr="00842FE5">
        <w:rPr>
          <w:rFonts w:ascii="Times New Roman" w:hAnsi="Times New Roman" w:cs="Times New Roman"/>
          <w:color w:val="0D0D0D" w:themeColor="text1" w:themeTint="F2"/>
          <w:sz w:val="24"/>
          <w:szCs w:val="24"/>
        </w:rPr>
        <w:t>, where the prevalence and risk of T2D</w:t>
      </w:r>
      <w:r w:rsidR="00F238D3" w:rsidRPr="00842FE5">
        <w:rPr>
          <w:rFonts w:ascii="Times New Roman" w:hAnsi="Times New Roman" w:cs="Times New Roman"/>
          <w:color w:val="0D0D0D" w:themeColor="text1" w:themeTint="F2"/>
          <w:sz w:val="24"/>
          <w:szCs w:val="24"/>
        </w:rPr>
        <w:t>M</w:t>
      </w:r>
      <w:r w:rsidRPr="00842FE5">
        <w:rPr>
          <w:rFonts w:ascii="Times New Roman" w:hAnsi="Times New Roman" w:cs="Times New Roman"/>
          <w:color w:val="0D0D0D" w:themeColor="text1" w:themeTint="F2"/>
          <w:sz w:val="24"/>
          <w:szCs w:val="24"/>
        </w:rPr>
        <w:t xml:space="preserve"> is high </w:t>
      </w:r>
      <w:r w:rsidRPr="00842FE5">
        <w:rPr>
          <w:rFonts w:ascii="Times New Roman" w:hAnsi="Times New Roman" w:cs="Times New Roman"/>
          <w:color w:val="0D0D0D" w:themeColor="text1" w:themeTint="F2"/>
          <w:sz w:val="24"/>
          <w:szCs w:val="24"/>
        </w:rPr>
        <w:lastRenderedPageBreak/>
        <w:t xml:space="preserve">owing to </w:t>
      </w:r>
      <w:r w:rsidR="00073155" w:rsidRPr="00842FE5">
        <w:rPr>
          <w:rFonts w:ascii="Times New Roman" w:hAnsi="Times New Roman" w:cs="Times New Roman"/>
          <w:color w:val="0D0D0D" w:themeColor="text1" w:themeTint="F2"/>
          <w:sz w:val="24"/>
          <w:szCs w:val="24"/>
        </w:rPr>
        <w:t xml:space="preserve">differences in </w:t>
      </w:r>
      <w:r w:rsidRPr="00842FE5">
        <w:rPr>
          <w:rFonts w:ascii="Times New Roman" w:hAnsi="Times New Roman" w:cs="Times New Roman"/>
          <w:color w:val="0D0D0D" w:themeColor="text1" w:themeTint="F2"/>
          <w:sz w:val="24"/>
          <w:szCs w:val="24"/>
        </w:rPr>
        <w:t>ethnicity</w:t>
      </w:r>
      <w:r w:rsidR="00073155" w:rsidRPr="00842FE5">
        <w:rPr>
          <w:rFonts w:ascii="Times New Roman" w:hAnsi="Times New Roman" w:cs="Times New Roman"/>
          <w:color w:val="0D0D0D" w:themeColor="text1" w:themeTint="F2"/>
          <w:sz w:val="24"/>
          <w:szCs w:val="24"/>
        </w:rPr>
        <w:t xml:space="preserve"> and sociocultural fact</w:t>
      </w:r>
      <w:r w:rsidR="00941A6D" w:rsidRPr="00842FE5">
        <w:rPr>
          <w:rFonts w:ascii="Times New Roman" w:hAnsi="Times New Roman" w:cs="Times New Roman"/>
          <w:color w:val="0D0D0D" w:themeColor="text1" w:themeTint="F2"/>
          <w:sz w:val="24"/>
          <w:szCs w:val="24"/>
        </w:rPr>
        <w:t>ors</w:t>
      </w:r>
      <w:r w:rsidRPr="00842FE5">
        <w:rPr>
          <w:rFonts w:ascii="Times New Roman" w:hAnsi="Times New Roman" w:cs="Times New Roman"/>
          <w:color w:val="0D0D0D" w:themeColor="text1" w:themeTint="F2"/>
          <w:sz w:val="24"/>
          <w:szCs w:val="24"/>
        </w:rPr>
        <w:t xml:space="preserve">. </w:t>
      </w:r>
      <w:r w:rsidR="004C7B61" w:rsidRPr="00842FE5">
        <w:rPr>
          <w:rFonts w:ascii="Times New Roman" w:hAnsi="Times New Roman" w:cs="Times New Roman"/>
          <w:color w:val="0D0D0D" w:themeColor="text1" w:themeTint="F2"/>
          <w:sz w:val="24"/>
          <w:szCs w:val="24"/>
        </w:rPr>
        <w:t>The present</w:t>
      </w:r>
      <w:r w:rsidRPr="00842FE5">
        <w:rPr>
          <w:rFonts w:ascii="Times New Roman" w:hAnsi="Times New Roman" w:cs="Times New Roman"/>
          <w:color w:val="0D0D0D" w:themeColor="text1" w:themeTint="F2"/>
          <w:sz w:val="24"/>
          <w:szCs w:val="24"/>
        </w:rPr>
        <w:t xml:space="preserve"> study aim</w:t>
      </w:r>
      <w:r w:rsidR="003F4FE6" w:rsidRPr="00842FE5">
        <w:rPr>
          <w:rFonts w:ascii="Times New Roman" w:hAnsi="Times New Roman" w:cs="Times New Roman"/>
          <w:color w:val="0D0D0D" w:themeColor="text1" w:themeTint="F2"/>
          <w:sz w:val="24"/>
          <w:szCs w:val="24"/>
        </w:rPr>
        <w:t>ed</w:t>
      </w:r>
      <w:r w:rsidRPr="00842FE5">
        <w:rPr>
          <w:rFonts w:ascii="Times New Roman" w:hAnsi="Times New Roman" w:cs="Times New Roman"/>
          <w:color w:val="0D0D0D" w:themeColor="text1" w:themeTint="F2"/>
          <w:sz w:val="24"/>
          <w:szCs w:val="24"/>
        </w:rPr>
        <w:t xml:space="preserve"> to evaluate the efficacy and safety of Gla-300 in participants with T2D</w:t>
      </w:r>
      <w:r w:rsidR="00F238D3" w:rsidRPr="00842FE5">
        <w:rPr>
          <w:rFonts w:ascii="Times New Roman" w:hAnsi="Times New Roman" w:cs="Times New Roman"/>
          <w:color w:val="0D0D0D" w:themeColor="text1" w:themeTint="F2"/>
          <w:sz w:val="24"/>
          <w:szCs w:val="24"/>
        </w:rPr>
        <w:t>M</w:t>
      </w:r>
      <w:r w:rsidRPr="00842FE5">
        <w:rPr>
          <w:rFonts w:ascii="Times New Roman" w:hAnsi="Times New Roman" w:cs="Times New Roman"/>
          <w:color w:val="0D0D0D" w:themeColor="text1" w:themeTint="F2"/>
          <w:sz w:val="24"/>
          <w:szCs w:val="24"/>
        </w:rPr>
        <w:t xml:space="preserve"> uncontrolled on current BI therapy in wider geographic regions</w:t>
      </w:r>
      <w:r w:rsidR="003F4FE6" w:rsidRPr="00842FE5">
        <w:rPr>
          <w:rFonts w:ascii="Times New Roman" w:hAnsi="Times New Roman" w:cs="Times New Roman"/>
          <w:color w:val="0D0D0D" w:themeColor="text1" w:themeTint="F2"/>
          <w:sz w:val="24"/>
          <w:szCs w:val="24"/>
        </w:rPr>
        <w:t>,</w:t>
      </w:r>
      <w:r w:rsidRPr="00842FE5">
        <w:rPr>
          <w:rFonts w:ascii="Times New Roman" w:hAnsi="Times New Roman" w:cs="Times New Roman"/>
          <w:color w:val="0D0D0D" w:themeColor="text1" w:themeTint="F2"/>
          <w:sz w:val="24"/>
          <w:szCs w:val="24"/>
        </w:rPr>
        <w:t xml:space="preserve"> such as Asia, Latin America and Middle-East Africa including populations </w:t>
      </w:r>
      <w:r w:rsidR="004600EF" w:rsidRPr="00842FE5">
        <w:rPr>
          <w:rFonts w:ascii="Times New Roman" w:hAnsi="Times New Roman" w:cs="Times New Roman"/>
          <w:color w:val="0D0D0D" w:themeColor="text1" w:themeTint="F2"/>
          <w:sz w:val="24"/>
          <w:szCs w:val="24"/>
        </w:rPr>
        <w:t>with</w:t>
      </w:r>
      <w:r w:rsidRPr="00842FE5">
        <w:rPr>
          <w:rFonts w:ascii="Times New Roman" w:hAnsi="Times New Roman" w:cs="Times New Roman"/>
          <w:color w:val="0D0D0D" w:themeColor="text1" w:themeTint="F2"/>
          <w:sz w:val="24"/>
          <w:szCs w:val="24"/>
        </w:rPr>
        <w:t xml:space="preserve"> various ethnic backgrounds and </w:t>
      </w:r>
      <w:r w:rsidR="00EC069A" w:rsidRPr="00842FE5">
        <w:rPr>
          <w:rFonts w:ascii="Times New Roman" w:hAnsi="Times New Roman" w:cs="Times New Roman"/>
          <w:color w:val="0D0D0D" w:themeColor="text1" w:themeTint="F2"/>
          <w:sz w:val="24"/>
          <w:szCs w:val="24"/>
        </w:rPr>
        <w:t>differen</w:t>
      </w:r>
      <w:r w:rsidR="00BC1C9B" w:rsidRPr="00842FE5">
        <w:rPr>
          <w:rFonts w:ascii="Times New Roman" w:hAnsi="Times New Roman" w:cs="Times New Roman"/>
          <w:color w:val="0D0D0D" w:themeColor="text1" w:themeTint="F2"/>
          <w:sz w:val="24"/>
          <w:szCs w:val="24"/>
        </w:rPr>
        <w:t>ces</w:t>
      </w:r>
      <w:r w:rsidR="00EC069A" w:rsidRPr="00842FE5">
        <w:rPr>
          <w:rFonts w:ascii="Times New Roman" w:hAnsi="Times New Roman" w:cs="Times New Roman"/>
          <w:color w:val="0D0D0D" w:themeColor="text1" w:themeTint="F2"/>
          <w:sz w:val="24"/>
          <w:szCs w:val="24"/>
        </w:rPr>
        <w:t xml:space="preserve"> </w:t>
      </w:r>
      <w:r w:rsidR="009D05DF" w:rsidRPr="00842FE5">
        <w:rPr>
          <w:rFonts w:ascii="Times New Roman" w:hAnsi="Times New Roman" w:cs="Times New Roman"/>
          <w:color w:val="0D0D0D" w:themeColor="text1" w:themeTint="F2"/>
          <w:sz w:val="24"/>
          <w:szCs w:val="24"/>
        </w:rPr>
        <w:t xml:space="preserve">in </w:t>
      </w:r>
      <w:r w:rsidR="00EC069A" w:rsidRPr="00842FE5">
        <w:rPr>
          <w:rFonts w:ascii="Times New Roman" w:hAnsi="Times New Roman" w:cs="Times New Roman"/>
          <w:color w:val="0D0D0D" w:themeColor="text1" w:themeTint="F2"/>
          <w:sz w:val="24"/>
          <w:szCs w:val="24"/>
        </w:rPr>
        <w:t>lifestyles</w:t>
      </w:r>
      <w:r w:rsidR="00BC1C9B" w:rsidRPr="00842FE5">
        <w:rPr>
          <w:rFonts w:ascii="Times New Roman" w:hAnsi="Times New Roman" w:cs="Times New Roman"/>
          <w:color w:val="0D0D0D" w:themeColor="text1" w:themeTint="F2"/>
          <w:sz w:val="24"/>
          <w:szCs w:val="24"/>
        </w:rPr>
        <w:t xml:space="preserve"> and treatment practices</w:t>
      </w:r>
      <w:r w:rsidRPr="00842FE5">
        <w:rPr>
          <w:rFonts w:ascii="Times New Roman" w:hAnsi="Times New Roman" w:cs="Times New Roman"/>
          <w:color w:val="0D0D0D" w:themeColor="text1" w:themeTint="F2"/>
          <w:sz w:val="24"/>
          <w:szCs w:val="24"/>
        </w:rPr>
        <w:t>.</w:t>
      </w:r>
    </w:p>
    <w:p w14:paraId="5A84D37B" w14:textId="69D68B90" w:rsidR="006044B3" w:rsidRPr="00842FE5" w:rsidRDefault="00D26DD9" w:rsidP="003858C4">
      <w:pPr>
        <w:tabs>
          <w:tab w:val="left" w:pos="3441"/>
        </w:tabs>
        <w:spacing w:line="480" w:lineRule="auto"/>
        <w:rPr>
          <w:rFonts w:ascii="Times New Roman" w:hAnsi="Times New Roman" w:cs="Times New Roman"/>
          <w:b/>
          <w:bCs/>
          <w:color w:val="0D0D0D" w:themeColor="text1" w:themeTint="F2"/>
          <w:sz w:val="24"/>
          <w:szCs w:val="24"/>
        </w:rPr>
      </w:pPr>
      <w:r w:rsidRPr="00842FE5">
        <w:rPr>
          <w:rFonts w:ascii="Times New Roman" w:hAnsi="Times New Roman" w:cs="Times New Roman"/>
          <w:b/>
          <w:bCs/>
          <w:color w:val="0D0D0D" w:themeColor="text1" w:themeTint="F2"/>
          <w:sz w:val="24"/>
          <w:szCs w:val="24"/>
        </w:rPr>
        <w:t xml:space="preserve">Methods </w:t>
      </w:r>
    </w:p>
    <w:p w14:paraId="71FEBA1F" w14:textId="722A56CA" w:rsidR="004649D8" w:rsidRPr="00842FE5" w:rsidRDefault="004649D8" w:rsidP="003858C4">
      <w:pPr>
        <w:tabs>
          <w:tab w:val="left" w:pos="3441"/>
        </w:tabs>
        <w:spacing w:line="480" w:lineRule="auto"/>
        <w:rPr>
          <w:rFonts w:ascii="Times New Roman" w:hAnsi="Times New Roman" w:cs="Times New Roman"/>
          <w:b/>
          <w:bCs/>
          <w:i/>
          <w:iCs/>
          <w:color w:val="0D0D0D" w:themeColor="text1" w:themeTint="F2"/>
          <w:sz w:val="24"/>
          <w:szCs w:val="24"/>
        </w:rPr>
      </w:pPr>
      <w:r w:rsidRPr="00842FE5">
        <w:rPr>
          <w:rFonts w:ascii="Times New Roman" w:hAnsi="Times New Roman" w:cs="Times New Roman"/>
          <w:b/>
          <w:bCs/>
          <w:i/>
          <w:iCs/>
          <w:color w:val="0D0D0D" w:themeColor="text1" w:themeTint="F2"/>
          <w:sz w:val="24"/>
          <w:szCs w:val="24"/>
        </w:rPr>
        <w:t>Study design and participants</w:t>
      </w:r>
    </w:p>
    <w:p w14:paraId="418100DB" w14:textId="0F2F4031" w:rsidR="00DD7F41" w:rsidRPr="00842FE5" w:rsidRDefault="00976076" w:rsidP="003858C4">
      <w:pPr>
        <w:tabs>
          <w:tab w:val="left" w:pos="3441"/>
        </w:tabs>
        <w:spacing w:line="480" w:lineRule="auto"/>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This</w:t>
      </w:r>
      <w:r w:rsidR="00553048" w:rsidRPr="00842FE5">
        <w:rPr>
          <w:rFonts w:ascii="Times New Roman" w:hAnsi="Times New Roman" w:cs="Times New Roman"/>
          <w:color w:val="0D0D0D" w:themeColor="text1" w:themeTint="F2"/>
          <w:sz w:val="24"/>
          <w:szCs w:val="24"/>
        </w:rPr>
        <w:t xml:space="preserve"> </w:t>
      </w:r>
      <w:r w:rsidR="007307F5" w:rsidRPr="00842FE5">
        <w:rPr>
          <w:rFonts w:ascii="Times New Roman" w:hAnsi="Times New Roman" w:cs="Times New Roman"/>
          <w:color w:val="0D0D0D" w:themeColor="text1" w:themeTint="F2"/>
          <w:sz w:val="24"/>
          <w:szCs w:val="24"/>
        </w:rPr>
        <w:t>multinational, prospective, interventional, single</w:t>
      </w:r>
      <w:r w:rsidR="009D05DF" w:rsidRPr="00842FE5">
        <w:rPr>
          <w:rFonts w:ascii="Times New Roman" w:hAnsi="Times New Roman" w:cs="Times New Roman"/>
          <w:color w:val="0D0D0D" w:themeColor="text1" w:themeTint="F2"/>
          <w:sz w:val="24"/>
          <w:szCs w:val="24"/>
        </w:rPr>
        <w:t>-</w:t>
      </w:r>
      <w:r w:rsidR="007307F5" w:rsidRPr="00842FE5">
        <w:rPr>
          <w:rFonts w:ascii="Times New Roman" w:hAnsi="Times New Roman" w:cs="Times New Roman"/>
          <w:color w:val="0D0D0D" w:themeColor="text1" w:themeTint="F2"/>
          <w:sz w:val="24"/>
          <w:szCs w:val="24"/>
        </w:rPr>
        <w:t>arm, phase IV study (</w:t>
      </w:r>
      <w:r w:rsidR="002742F9" w:rsidRPr="00842FE5">
        <w:rPr>
          <w:rFonts w:ascii="Times New Roman" w:hAnsi="Times New Roman" w:cs="Times New Roman"/>
          <w:color w:val="0D0D0D" w:themeColor="text1" w:themeTint="F2"/>
          <w:sz w:val="24"/>
          <w:szCs w:val="24"/>
        </w:rPr>
        <w:t>ARTEMIS-DM</w:t>
      </w:r>
      <w:r w:rsidR="00842FE5" w:rsidRPr="00842FE5">
        <w:rPr>
          <w:rFonts w:ascii="Times New Roman" w:hAnsi="Times New Roman" w:cs="Times New Roman"/>
          <w:color w:val="0D0D0D" w:themeColor="text1" w:themeTint="F2"/>
          <w:sz w:val="24"/>
          <w:szCs w:val="24"/>
        </w:rPr>
        <w:t>;</w:t>
      </w:r>
      <w:r w:rsidR="002742F9" w:rsidRPr="00842FE5">
        <w:rPr>
          <w:rFonts w:ascii="Times New Roman" w:hAnsi="Times New Roman" w:cs="Times New Roman"/>
          <w:color w:val="0D0D0D" w:themeColor="text1" w:themeTint="F2"/>
          <w:sz w:val="24"/>
          <w:szCs w:val="24"/>
        </w:rPr>
        <w:t xml:space="preserve"> </w:t>
      </w:r>
      <w:r w:rsidR="007307F5" w:rsidRPr="00842FE5">
        <w:rPr>
          <w:rFonts w:ascii="Times New Roman" w:hAnsi="Times New Roman" w:cs="Times New Roman"/>
          <w:color w:val="0D0D0D" w:themeColor="text1" w:themeTint="F2"/>
          <w:sz w:val="24"/>
          <w:szCs w:val="24"/>
        </w:rPr>
        <w:t xml:space="preserve">NCT03760991) </w:t>
      </w:r>
      <w:r w:rsidR="00842FE5">
        <w:rPr>
          <w:rFonts w:ascii="Times New Roman" w:hAnsi="Times New Roman" w:cs="Times New Roman"/>
          <w:color w:val="0D0D0D" w:themeColor="text1" w:themeTint="F2"/>
          <w:sz w:val="24"/>
          <w:szCs w:val="24"/>
        </w:rPr>
        <w:t xml:space="preserve">was </w:t>
      </w:r>
      <w:r w:rsidR="007307F5" w:rsidRPr="00842FE5">
        <w:rPr>
          <w:rFonts w:ascii="Times New Roman" w:hAnsi="Times New Roman" w:cs="Times New Roman"/>
          <w:color w:val="0D0D0D" w:themeColor="text1" w:themeTint="F2"/>
          <w:sz w:val="24"/>
          <w:szCs w:val="24"/>
        </w:rPr>
        <w:t xml:space="preserve">designed to evaluate the clinical efficacy and safety of </w:t>
      </w:r>
      <w:r w:rsidR="006E0BAD" w:rsidRPr="00842FE5">
        <w:rPr>
          <w:rFonts w:ascii="Times New Roman" w:hAnsi="Times New Roman" w:cs="Times New Roman"/>
          <w:color w:val="0D0D0D" w:themeColor="text1" w:themeTint="F2"/>
          <w:sz w:val="24"/>
          <w:szCs w:val="24"/>
        </w:rPr>
        <w:t>Gla-</w:t>
      </w:r>
      <w:r w:rsidR="007307F5" w:rsidRPr="00842FE5">
        <w:rPr>
          <w:rFonts w:ascii="Times New Roman" w:hAnsi="Times New Roman" w:cs="Times New Roman"/>
          <w:color w:val="0D0D0D" w:themeColor="text1" w:themeTint="F2"/>
          <w:sz w:val="24"/>
          <w:szCs w:val="24"/>
        </w:rPr>
        <w:t>300 over 26 weeks in adults with T2D</w:t>
      </w:r>
      <w:r w:rsidR="00F238D3" w:rsidRPr="00842FE5">
        <w:rPr>
          <w:rFonts w:ascii="Times New Roman" w:hAnsi="Times New Roman" w:cs="Times New Roman"/>
          <w:color w:val="0D0D0D" w:themeColor="text1" w:themeTint="F2"/>
          <w:sz w:val="24"/>
          <w:szCs w:val="24"/>
        </w:rPr>
        <w:t>M</w:t>
      </w:r>
      <w:r w:rsidR="007307F5" w:rsidRPr="00842FE5">
        <w:rPr>
          <w:rFonts w:ascii="Times New Roman" w:hAnsi="Times New Roman" w:cs="Times New Roman"/>
          <w:color w:val="0D0D0D" w:themeColor="text1" w:themeTint="F2"/>
          <w:sz w:val="24"/>
          <w:szCs w:val="24"/>
        </w:rPr>
        <w:t xml:space="preserve"> uncontrolled on BI</w:t>
      </w:r>
      <w:r w:rsidR="00D5085B" w:rsidRPr="00842FE5">
        <w:rPr>
          <w:rFonts w:ascii="Times New Roman" w:hAnsi="Times New Roman" w:cs="Times New Roman"/>
          <w:color w:val="0D0D0D" w:themeColor="text1" w:themeTint="F2"/>
          <w:sz w:val="24"/>
          <w:szCs w:val="24"/>
        </w:rPr>
        <w:t>.</w:t>
      </w:r>
      <w:r w:rsidR="006547CC" w:rsidRPr="00842FE5">
        <w:rPr>
          <w:rFonts w:ascii="Times New Roman" w:hAnsi="Times New Roman" w:cs="Times New Roman"/>
          <w:color w:val="0D0D0D" w:themeColor="text1" w:themeTint="F2"/>
          <w:sz w:val="24"/>
          <w:szCs w:val="24"/>
        </w:rPr>
        <w:t xml:space="preserve"> </w:t>
      </w:r>
      <w:r w:rsidR="007B5BE1" w:rsidRPr="00842FE5">
        <w:rPr>
          <w:rFonts w:ascii="Times New Roman" w:hAnsi="Times New Roman" w:cs="Times New Roman"/>
          <w:color w:val="0D0D0D" w:themeColor="text1" w:themeTint="F2"/>
          <w:sz w:val="24"/>
          <w:szCs w:val="24"/>
        </w:rPr>
        <w:t>The study comprise</w:t>
      </w:r>
      <w:r w:rsidR="00AC3ED8" w:rsidRPr="00842FE5">
        <w:rPr>
          <w:rFonts w:ascii="Times New Roman" w:hAnsi="Times New Roman" w:cs="Times New Roman"/>
          <w:color w:val="0D0D0D" w:themeColor="text1" w:themeTint="F2"/>
          <w:sz w:val="24"/>
          <w:szCs w:val="24"/>
        </w:rPr>
        <w:t>d</w:t>
      </w:r>
      <w:r w:rsidR="007B5BE1" w:rsidRPr="00842FE5">
        <w:rPr>
          <w:rFonts w:ascii="Times New Roman" w:hAnsi="Times New Roman" w:cs="Times New Roman"/>
          <w:color w:val="0D0D0D" w:themeColor="text1" w:themeTint="F2"/>
          <w:sz w:val="24"/>
          <w:szCs w:val="24"/>
        </w:rPr>
        <w:t xml:space="preserve"> of a screening period</w:t>
      </w:r>
      <w:r w:rsidR="00DF57FC" w:rsidRPr="00842FE5">
        <w:rPr>
          <w:rFonts w:ascii="Times New Roman" w:hAnsi="Times New Roman" w:cs="Times New Roman"/>
          <w:color w:val="0D0D0D" w:themeColor="text1" w:themeTint="F2"/>
          <w:sz w:val="24"/>
          <w:szCs w:val="24"/>
        </w:rPr>
        <w:t xml:space="preserve"> (2 weeks), treatment period (26 weeks)</w:t>
      </w:r>
      <w:r w:rsidR="00A82F4E" w:rsidRPr="00842FE5">
        <w:rPr>
          <w:rFonts w:ascii="Times New Roman" w:hAnsi="Times New Roman" w:cs="Times New Roman"/>
          <w:color w:val="0D0D0D" w:themeColor="text1" w:themeTint="F2"/>
          <w:sz w:val="24"/>
          <w:szCs w:val="24"/>
        </w:rPr>
        <w:t>, and a post-treatment follow</w:t>
      </w:r>
      <w:r w:rsidR="00962162" w:rsidRPr="00842FE5">
        <w:rPr>
          <w:rFonts w:ascii="Times New Roman" w:hAnsi="Times New Roman" w:cs="Times New Roman"/>
          <w:color w:val="0D0D0D" w:themeColor="text1" w:themeTint="F2"/>
          <w:sz w:val="24"/>
          <w:szCs w:val="24"/>
        </w:rPr>
        <w:t>-</w:t>
      </w:r>
      <w:r w:rsidR="00A82F4E" w:rsidRPr="00842FE5">
        <w:rPr>
          <w:rFonts w:ascii="Times New Roman" w:hAnsi="Times New Roman" w:cs="Times New Roman"/>
          <w:color w:val="0D0D0D" w:themeColor="text1" w:themeTint="F2"/>
          <w:sz w:val="24"/>
          <w:szCs w:val="24"/>
        </w:rPr>
        <w:t xml:space="preserve">up </w:t>
      </w:r>
      <w:r w:rsidR="001D3232" w:rsidRPr="00842FE5">
        <w:rPr>
          <w:rFonts w:ascii="Times New Roman" w:hAnsi="Times New Roman" w:cs="Times New Roman"/>
          <w:color w:val="0D0D0D" w:themeColor="text1" w:themeTint="F2"/>
          <w:sz w:val="24"/>
          <w:szCs w:val="24"/>
        </w:rPr>
        <w:t xml:space="preserve">visit </w:t>
      </w:r>
      <w:r w:rsidR="00A82F4E" w:rsidRPr="00842FE5">
        <w:rPr>
          <w:rFonts w:ascii="Times New Roman" w:hAnsi="Times New Roman" w:cs="Times New Roman"/>
          <w:color w:val="0D0D0D" w:themeColor="text1" w:themeTint="F2"/>
          <w:sz w:val="24"/>
          <w:szCs w:val="24"/>
        </w:rPr>
        <w:t>at Week 27</w:t>
      </w:r>
      <w:r w:rsidR="00E37F85" w:rsidRPr="00842FE5">
        <w:rPr>
          <w:rFonts w:ascii="Times New Roman" w:hAnsi="Times New Roman" w:cs="Times New Roman"/>
          <w:color w:val="0D0D0D" w:themeColor="text1" w:themeTint="F2"/>
          <w:sz w:val="24"/>
          <w:szCs w:val="24"/>
        </w:rPr>
        <w:t>.</w:t>
      </w:r>
      <w:r w:rsidR="007B5BE1" w:rsidRPr="00842FE5">
        <w:rPr>
          <w:rFonts w:ascii="Times New Roman" w:hAnsi="Times New Roman" w:cs="Times New Roman"/>
          <w:color w:val="0D0D0D" w:themeColor="text1" w:themeTint="F2"/>
          <w:sz w:val="24"/>
          <w:szCs w:val="24"/>
        </w:rPr>
        <w:t xml:space="preserve"> </w:t>
      </w:r>
      <w:r w:rsidR="00B105AF" w:rsidRPr="00842FE5">
        <w:rPr>
          <w:rFonts w:ascii="Times New Roman" w:hAnsi="Times New Roman" w:cs="Times New Roman"/>
          <w:color w:val="0D0D0D" w:themeColor="text1" w:themeTint="F2"/>
          <w:sz w:val="24"/>
          <w:szCs w:val="24"/>
        </w:rPr>
        <w:t xml:space="preserve">The maximum study duration per patient was to be 29 weeks. Six onsite visits </w:t>
      </w:r>
      <w:r w:rsidR="00C96D3D" w:rsidRPr="00842FE5">
        <w:rPr>
          <w:rFonts w:ascii="Times New Roman" w:hAnsi="Times New Roman" w:cs="Times New Roman"/>
          <w:color w:val="0D0D0D" w:themeColor="text1" w:themeTint="F2"/>
          <w:sz w:val="24"/>
          <w:szCs w:val="24"/>
        </w:rPr>
        <w:t>(</w:t>
      </w:r>
      <w:r w:rsidR="00B105AF" w:rsidRPr="00842FE5">
        <w:rPr>
          <w:rFonts w:ascii="Times New Roman" w:hAnsi="Times New Roman" w:cs="Times New Roman"/>
          <w:color w:val="0D0D0D" w:themeColor="text1" w:themeTint="F2"/>
          <w:sz w:val="24"/>
          <w:szCs w:val="24"/>
        </w:rPr>
        <w:t xml:space="preserve">Weeks -2 [screening visit], 0, 4, 8, 12, and 26) and </w:t>
      </w:r>
      <w:r w:rsidR="00834BDA">
        <w:rPr>
          <w:rFonts w:ascii="Times New Roman" w:hAnsi="Times New Roman" w:cs="Times New Roman"/>
          <w:color w:val="0D0D0D" w:themeColor="text1" w:themeTint="F2"/>
          <w:sz w:val="24"/>
          <w:szCs w:val="24"/>
        </w:rPr>
        <w:t>five</w:t>
      </w:r>
      <w:r w:rsidR="00B105AF" w:rsidRPr="00842FE5">
        <w:rPr>
          <w:rFonts w:ascii="Times New Roman" w:hAnsi="Times New Roman" w:cs="Times New Roman"/>
          <w:color w:val="0D0D0D" w:themeColor="text1" w:themeTint="F2"/>
          <w:sz w:val="24"/>
          <w:szCs w:val="24"/>
        </w:rPr>
        <w:t xml:space="preserve"> contacts</w:t>
      </w:r>
      <w:r w:rsidR="00C2226C">
        <w:rPr>
          <w:rFonts w:ascii="Times New Roman" w:hAnsi="Times New Roman" w:cs="Times New Roman"/>
          <w:color w:val="0D0D0D" w:themeColor="text1" w:themeTint="F2"/>
          <w:sz w:val="24"/>
          <w:szCs w:val="24"/>
        </w:rPr>
        <w:t xml:space="preserve"> via telephone</w:t>
      </w:r>
      <w:r w:rsidR="00B105AF" w:rsidRPr="00842FE5">
        <w:rPr>
          <w:rFonts w:ascii="Times New Roman" w:hAnsi="Times New Roman" w:cs="Times New Roman"/>
          <w:color w:val="0D0D0D" w:themeColor="text1" w:themeTint="F2"/>
          <w:sz w:val="24"/>
          <w:szCs w:val="24"/>
        </w:rPr>
        <w:t xml:space="preserve"> </w:t>
      </w:r>
      <w:r w:rsidR="009118CC">
        <w:rPr>
          <w:rFonts w:ascii="Times New Roman" w:hAnsi="Times New Roman" w:cs="Times New Roman"/>
          <w:color w:val="0D0D0D" w:themeColor="text1" w:themeTint="F2"/>
          <w:sz w:val="24"/>
          <w:szCs w:val="24"/>
        </w:rPr>
        <w:t>(</w:t>
      </w:r>
      <w:r w:rsidR="006D47F1">
        <w:rPr>
          <w:rFonts w:ascii="Times New Roman" w:hAnsi="Times New Roman" w:cs="Times New Roman"/>
          <w:sz w:val="24"/>
          <w:szCs w:val="24"/>
        </w:rPr>
        <w:t>three</w:t>
      </w:r>
      <w:r w:rsidR="009118CC">
        <w:rPr>
          <w:rFonts w:ascii="Times New Roman" w:hAnsi="Times New Roman" w:cs="Times New Roman"/>
          <w:sz w:val="24"/>
          <w:szCs w:val="24"/>
        </w:rPr>
        <w:t xml:space="preserve"> weekly calls </w:t>
      </w:r>
      <w:r w:rsidR="006D47F1">
        <w:rPr>
          <w:rFonts w:ascii="Times New Roman" w:hAnsi="Times New Roman" w:cs="Times New Roman"/>
          <w:sz w:val="24"/>
          <w:szCs w:val="24"/>
        </w:rPr>
        <w:t xml:space="preserve">during </w:t>
      </w:r>
      <w:r w:rsidR="009118CC">
        <w:rPr>
          <w:rFonts w:ascii="Times New Roman" w:hAnsi="Times New Roman" w:cs="Times New Roman"/>
          <w:sz w:val="24"/>
          <w:szCs w:val="24"/>
        </w:rPr>
        <w:t>Week 1–3, one c</w:t>
      </w:r>
      <w:r w:rsidR="006D47F1">
        <w:rPr>
          <w:rFonts w:ascii="Times New Roman" w:hAnsi="Times New Roman" w:cs="Times New Roman"/>
          <w:sz w:val="24"/>
          <w:szCs w:val="24"/>
        </w:rPr>
        <w:t>all</w:t>
      </w:r>
      <w:r w:rsidR="009118CC">
        <w:rPr>
          <w:rFonts w:ascii="Times New Roman" w:hAnsi="Times New Roman" w:cs="Times New Roman"/>
          <w:sz w:val="24"/>
          <w:szCs w:val="24"/>
        </w:rPr>
        <w:t xml:space="preserve"> </w:t>
      </w:r>
      <w:r w:rsidR="00952639">
        <w:rPr>
          <w:rFonts w:ascii="Times New Roman" w:hAnsi="Times New Roman" w:cs="Times New Roman"/>
          <w:sz w:val="24"/>
          <w:szCs w:val="24"/>
        </w:rPr>
        <w:t>during</w:t>
      </w:r>
      <w:r w:rsidR="009118CC">
        <w:rPr>
          <w:rFonts w:ascii="Times New Roman" w:hAnsi="Times New Roman" w:cs="Times New Roman"/>
          <w:sz w:val="24"/>
          <w:szCs w:val="24"/>
        </w:rPr>
        <w:t xml:space="preserve"> Week 18–20 and one follow-up </w:t>
      </w:r>
      <w:r w:rsidR="007531F8">
        <w:rPr>
          <w:rFonts w:ascii="Times New Roman" w:hAnsi="Times New Roman" w:cs="Times New Roman"/>
          <w:sz w:val="24"/>
          <w:szCs w:val="24"/>
        </w:rPr>
        <w:t xml:space="preserve">call </w:t>
      </w:r>
      <w:r w:rsidR="009118CC">
        <w:rPr>
          <w:rFonts w:ascii="Times New Roman" w:hAnsi="Times New Roman" w:cs="Times New Roman"/>
          <w:sz w:val="24"/>
          <w:szCs w:val="24"/>
        </w:rPr>
        <w:t>in Week 27</w:t>
      </w:r>
      <w:r w:rsidR="009C197E">
        <w:rPr>
          <w:rFonts w:ascii="Times New Roman" w:hAnsi="Times New Roman" w:cs="Times New Roman"/>
          <w:sz w:val="24"/>
          <w:szCs w:val="24"/>
        </w:rPr>
        <w:t xml:space="preserve">) </w:t>
      </w:r>
      <w:r w:rsidR="00B105AF" w:rsidRPr="00842FE5">
        <w:rPr>
          <w:rFonts w:ascii="Times New Roman" w:hAnsi="Times New Roman" w:cs="Times New Roman"/>
          <w:color w:val="0D0D0D" w:themeColor="text1" w:themeTint="F2"/>
          <w:sz w:val="24"/>
          <w:szCs w:val="24"/>
        </w:rPr>
        <w:t>were scheduled;</w:t>
      </w:r>
      <w:r w:rsidR="00472BFB">
        <w:rPr>
          <w:rFonts w:ascii="Times New Roman" w:hAnsi="Times New Roman" w:cs="Times New Roman"/>
          <w:color w:val="0D0D0D" w:themeColor="text1" w:themeTint="F2"/>
          <w:sz w:val="24"/>
          <w:szCs w:val="24"/>
        </w:rPr>
        <w:t xml:space="preserve"> </w:t>
      </w:r>
      <w:r w:rsidR="00B105AF" w:rsidRPr="00842FE5">
        <w:rPr>
          <w:rFonts w:ascii="Times New Roman" w:hAnsi="Times New Roman" w:cs="Times New Roman"/>
          <w:color w:val="0D0D0D" w:themeColor="text1" w:themeTint="F2"/>
          <w:sz w:val="24"/>
          <w:szCs w:val="24"/>
        </w:rPr>
        <w:t>additional onsite visits could be scheduled as needed</w:t>
      </w:r>
      <w:r w:rsidR="006D47F1">
        <w:rPr>
          <w:rFonts w:ascii="Times New Roman" w:hAnsi="Times New Roman" w:cs="Times New Roman"/>
          <w:color w:val="0D0D0D" w:themeColor="text1" w:themeTint="F2"/>
          <w:sz w:val="24"/>
          <w:szCs w:val="24"/>
        </w:rPr>
        <w:t xml:space="preserve"> (</w:t>
      </w:r>
      <w:r w:rsidR="006D47F1" w:rsidRPr="00952639">
        <w:rPr>
          <w:rFonts w:ascii="Times New Roman" w:hAnsi="Times New Roman" w:cs="Times New Roman"/>
          <w:b/>
          <w:bCs/>
          <w:color w:val="0D0D0D" w:themeColor="text1" w:themeTint="F2"/>
          <w:sz w:val="24"/>
          <w:szCs w:val="24"/>
        </w:rPr>
        <w:t>Supplementary Figure 1</w:t>
      </w:r>
      <w:r w:rsidR="006D47F1">
        <w:rPr>
          <w:rFonts w:ascii="Times New Roman" w:hAnsi="Times New Roman" w:cs="Times New Roman"/>
          <w:color w:val="0D0D0D" w:themeColor="text1" w:themeTint="F2"/>
          <w:sz w:val="24"/>
          <w:szCs w:val="24"/>
        </w:rPr>
        <w:t>)</w:t>
      </w:r>
      <w:r w:rsidR="00B105AF" w:rsidRPr="00842FE5">
        <w:rPr>
          <w:rFonts w:ascii="Times New Roman" w:hAnsi="Times New Roman" w:cs="Times New Roman"/>
          <w:color w:val="0D0D0D" w:themeColor="text1" w:themeTint="F2"/>
          <w:sz w:val="24"/>
          <w:szCs w:val="24"/>
        </w:rPr>
        <w:t>.</w:t>
      </w:r>
      <w:r w:rsidR="005F1225" w:rsidRPr="00842FE5">
        <w:rPr>
          <w:rFonts w:ascii="Times New Roman" w:hAnsi="Times New Roman" w:cs="Times New Roman"/>
          <w:color w:val="0D0D0D" w:themeColor="text1" w:themeTint="F2"/>
          <w:sz w:val="24"/>
          <w:szCs w:val="24"/>
        </w:rPr>
        <w:t xml:space="preserve"> </w:t>
      </w:r>
      <w:r w:rsidR="00A8301E" w:rsidRPr="00842FE5">
        <w:rPr>
          <w:rFonts w:ascii="Times New Roman" w:hAnsi="Times New Roman" w:cs="Times New Roman"/>
          <w:color w:val="0D0D0D" w:themeColor="text1" w:themeTint="F2"/>
          <w:sz w:val="24"/>
          <w:szCs w:val="24"/>
        </w:rPr>
        <w:t xml:space="preserve">Participants were enrolled at </w:t>
      </w:r>
      <w:r w:rsidR="002D64EF" w:rsidRPr="00842FE5">
        <w:rPr>
          <w:rFonts w:ascii="Times New Roman" w:hAnsi="Times New Roman" w:cs="Times New Roman"/>
          <w:color w:val="0D0D0D" w:themeColor="text1" w:themeTint="F2"/>
          <w:sz w:val="24"/>
          <w:szCs w:val="24"/>
        </w:rPr>
        <w:t>47</w:t>
      </w:r>
      <w:r w:rsidR="00A8301E" w:rsidRPr="00842FE5">
        <w:rPr>
          <w:rFonts w:ascii="Times New Roman" w:hAnsi="Times New Roman" w:cs="Times New Roman"/>
          <w:color w:val="0D0D0D" w:themeColor="text1" w:themeTint="F2"/>
          <w:sz w:val="24"/>
          <w:szCs w:val="24"/>
        </w:rPr>
        <w:t xml:space="preserve"> centres in </w:t>
      </w:r>
      <w:r w:rsidR="00073FA9" w:rsidRPr="00842FE5">
        <w:rPr>
          <w:rFonts w:ascii="Times New Roman" w:hAnsi="Times New Roman" w:cs="Times New Roman"/>
          <w:color w:val="0D0D0D" w:themeColor="text1" w:themeTint="F2"/>
          <w:sz w:val="24"/>
          <w:szCs w:val="24"/>
        </w:rPr>
        <w:t xml:space="preserve">14 </w:t>
      </w:r>
      <w:r w:rsidR="00810C45" w:rsidRPr="00842FE5">
        <w:rPr>
          <w:rFonts w:ascii="Times New Roman" w:hAnsi="Times New Roman" w:cs="Times New Roman"/>
          <w:color w:val="0D0D0D" w:themeColor="text1" w:themeTint="F2"/>
          <w:sz w:val="24"/>
          <w:szCs w:val="24"/>
        </w:rPr>
        <w:t>countries</w:t>
      </w:r>
      <w:r w:rsidR="00146C80" w:rsidRPr="00842FE5">
        <w:rPr>
          <w:rFonts w:ascii="Times New Roman" w:hAnsi="Times New Roman" w:cs="Times New Roman"/>
          <w:color w:val="0D0D0D" w:themeColor="text1" w:themeTint="F2"/>
          <w:sz w:val="24"/>
          <w:szCs w:val="24"/>
        </w:rPr>
        <w:t xml:space="preserve"> </w:t>
      </w:r>
      <w:r w:rsidR="00933209" w:rsidRPr="00842FE5">
        <w:rPr>
          <w:rFonts w:ascii="Times New Roman" w:hAnsi="Times New Roman" w:cs="Times New Roman"/>
          <w:color w:val="0D0D0D" w:themeColor="text1" w:themeTint="F2"/>
          <w:sz w:val="24"/>
          <w:szCs w:val="24"/>
        </w:rPr>
        <w:t>(</w:t>
      </w:r>
      <w:r w:rsidR="00977D66" w:rsidRPr="00842FE5">
        <w:rPr>
          <w:rFonts w:ascii="Times New Roman" w:hAnsi="Times New Roman" w:cs="Times New Roman"/>
          <w:color w:val="0D0D0D" w:themeColor="text1" w:themeTint="F2"/>
          <w:sz w:val="24"/>
          <w:szCs w:val="24"/>
        </w:rPr>
        <w:t xml:space="preserve">Asia: </w:t>
      </w:r>
      <w:r w:rsidR="00752BBE" w:rsidRPr="00842FE5">
        <w:rPr>
          <w:rFonts w:ascii="Times New Roman" w:hAnsi="Times New Roman" w:cs="Times New Roman"/>
          <w:color w:val="0D0D0D" w:themeColor="text1" w:themeTint="F2"/>
          <w:sz w:val="24"/>
          <w:szCs w:val="24"/>
        </w:rPr>
        <w:t xml:space="preserve">Hong Kong, </w:t>
      </w:r>
      <w:r w:rsidR="0059138A" w:rsidRPr="00842FE5">
        <w:rPr>
          <w:rFonts w:ascii="Times New Roman" w:hAnsi="Times New Roman" w:cs="Times New Roman"/>
          <w:color w:val="0D0D0D" w:themeColor="text1" w:themeTint="F2"/>
          <w:sz w:val="24"/>
          <w:szCs w:val="24"/>
        </w:rPr>
        <w:t xml:space="preserve">India, Indonesia, </w:t>
      </w:r>
      <w:r w:rsidR="00341AD3" w:rsidRPr="00842FE5">
        <w:rPr>
          <w:rFonts w:ascii="Times New Roman" w:hAnsi="Times New Roman" w:cs="Times New Roman"/>
          <w:color w:val="0D0D0D" w:themeColor="text1" w:themeTint="F2"/>
          <w:sz w:val="24"/>
          <w:szCs w:val="24"/>
        </w:rPr>
        <w:t xml:space="preserve">Malaysia, </w:t>
      </w:r>
      <w:r w:rsidR="00752BBE" w:rsidRPr="00842FE5">
        <w:rPr>
          <w:rFonts w:ascii="Times New Roman" w:hAnsi="Times New Roman" w:cs="Times New Roman"/>
          <w:color w:val="0D0D0D" w:themeColor="text1" w:themeTint="F2"/>
          <w:sz w:val="24"/>
          <w:szCs w:val="24"/>
        </w:rPr>
        <w:t>Philippines</w:t>
      </w:r>
      <w:r w:rsidR="008F7AE5" w:rsidRPr="00842FE5">
        <w:rPr>
          <w:rFonts w:ascii="Times New Roman" w:hAnsi="Times New Roman" w:cs="Times New Roman"/>
          <w:color w:val="0D0D0D" w:themeColor="text1" w:themeTint="F2"/>
          <w:sz w:val="24"/>
          <w:szCs w:val="24"/>
        </w:rPr>
        <w:t xml:space="preserve"> and</w:t>
      </w:r>
      <w:r w:rsidR="00752BBE" w:rsidRPr="00842FE5">
        <w:rPr>
          <w:rFonts w:ascii="Times New Roman" w:hAnsi="Times New Roman" w:cs="Times New Roman"/>
          <w:color w:val="0D0D0D" w:themeColor="text1" w:themeTint="F2"/>
          <w:sz w:val="24"/>
          <w:szCs w:val="24"/>
        </w:rPr>
        <w:t xml:space="preserve"> Thailand; Latin America: </w:t>
      </w:r>
      <w:r w:rsidR="00CB712C" w:rsidRPr="00842FE5">
        <w:rPr>
          <w:rFonts w:ascii="Times New Roman" w:hAnsi="Times New Roman" w:cs="Times New Roman"/>
          <w:color w:val="0D0D0D" w:themeColor="text1" w:themeTint="F2"/>
          <w:sz w:val="24"/>
          <w:szCs w:val="24"/>
        </w:rPr>
        <w:t>Argentina, Colombia</w:t>
      </w:r>
      <w:r w:rsidR="008F7AE5" w:rsidRPr="00842FE5">
        <w:rPr>
          <w:rFonts w:ascii="Times New Roman" w:hAnsi="Times New Roman" w:cs="Times New Roman"/>
          <w:color w:val="0D0D0D" w:themeColor="text1" w:themeTint="F2"/>
          <w:sz w:val="24"/>
          <w:szCs w:val="24"/>
        </w:rPr>
        <w:t xml:space="preserve"> and</w:t>
      </w:r>
      <w:r w:rsidR="00CB712C" w:rsidRPr="00842FE5">
        <w:rPr>
          <w:rFonts w:ascii="Times New Roman" w:hAnsi="Times New Roman" w:cs="Times New Roman"/>
          <w:color w:val="0D0D0D" w:themeColor="text1" w:themeTint="F2"/>
          <w:sz w:val="24"/>
          <w:szCs w:val="24"/>
        </w:rPr>
        <w:t xml:space="preserve"> </w:t>
      </w:r>
      <w:r w:rsidR="003069EA" w:rsidRPr="00842FE5">
        <w:rPr>
          <w:rFonts w:ascii="Times New Roman" w:hAnsi="Times New Roman" w:cs="Times New Roman"/>
          <w:color w:val="0D0D0D" w:themeColor="text1" w:themeTint="F2"/>
          <w:sz w:val="24"/>
          <w:szCs w:val="24"/>
        </w:rPr>
        <w:t xml:space="preserve">Peru; Middle-East Africa: </w:t>
      </w:r>
      <w:r w:rsidR="00BF7A59" w:rsidRPr="00842FE5">
        <w:rPr>
          <w:rFonts w:ascii="Times New Roman" w:hAnsi="Times New Roman" w:cs="Times New Roman"/>
          <w:color w:val="0D0D0D" w:themeColor="text1" w:themeTint="F2"/>
          <w:sz w:val="24"/>
          <w:szCs w:val="24"/>
        </w:rPr>
        <w:t xml:space="preserve">Egypt, </w:t>
      </w:r>
      <w:r w:rsidR="00E07EBC" w:rsidRPr="00842FE5">
        <w:rPr>
          <w:rFonts w:ascii="Times New Roman" w:hAnsi="Times New Roman" w:cs="Times New Roman"/>
          <w:color w:val="0D0D0D" w:themeColor="text1" w:themeTint="F2"/>
          <w:sz w:val="24"/>
          <w:szCs w:val="24"/>
        </w:rPr>
        <w:t xml:space="preserve">Lebanon, </w:t>
      </w:r>
      <w:r w:rsidR="00512187" w:rsidRPr="00842FE5">
        <w:rPr>
          <w:rFonts w:ascii="Times New Roman" w:hAnsi="Times New Roman" w:cs="Times New Roman"/>
          <w:color w:val="0D0D0D" w:themeColor="text1" w:themeTint="F2"/>
          <w:sz w:val="24"/>
          <w:szCs w:val="24"/>
        </w:rPr>
        <w:t>Saudi Arabia, South Africa and Turkey</w:t>
      </w:r>
      <w:r w:rsidR="00933209" w:rsidRPr="00842FE5">
        <w:rPr>
          <w:rFonts w:ascii="Times New Roman" w:hAnsi="Times New Roman" w:cs="Times New Roman"/>
          <w:color w:val="0D0D0D" w:themeColor="text1" w:themeTint="F2"/>
          <w:sz w:val="24"/>
          <w:szCs w:val="24"/>
        </w:rPr>
        <w:t>)</w:t>
      </w:r>
      <w:r w:rsidR="004013FF" w:rsidRPr="00842FE5">
        <w:rPr>
          <w:rFonts w:ascii="Times New Roman" w:hAnsi="Times New Roman" w:cs="Times New Roman"/>
          <w:color w:val="0D0D0D" w:themeColor="text1" w:themeTint="F2"/>
          <w:sz w:val="24"/>
          <w:szCs w:val="24"/>
        </w:rPr>
        <w:t xml:space="preserve">. </w:t>
      </w:r>
      <w:r w:rsidR="00CC6079" w:rsidRPr="00842FE5">
        <w:rPr>
          <w:rFonts w:ascii="Times New Roman" w:hAnsi="Times New Roman" w:cs="Times New Roman"/>
          <w:color w:val="0D0D0D" w:themeColor="text1" w:themeTint="F2"/>
          <w:sz w:val="24"/>
          <w:szCs w:val="24"/>
        </w:rPr>
        <w:t xml:space="preserve">The study </w:t>
      </w:r>
      <w:r w:rsidR="00A76A72" w:rsidRPr="00842FE5">
        <w:rPr>
          <w:rFonts w:ascii="Times New Roman" w:hAnsi="Times New Roman" w:cs="Times New Roman"/>
          <w:color w:val="0D0D0D" w:themeColor="text1" w:themeTint="F2"/>
          <w:sz w:val="24"/>
          <w:szCs w:val="24"/>
        </w:rPr>
        <w:t xml:space="preserve">included </w:t>
      </w:r>
      <w:r w:rsidR="002F0E49" w:rsidRPr="00842FE5">
        <w:rPr>
          <w:rFonts w:ascii="Times New Roman" w:hAnsi="Times New Roman" w:cs="Times New Roman"/>
          <w:color w:val="0D0D0D" w:themeColor="text1" w:themeTint="F2"/>
          <w:sz w:val="24"/>
          <w:szCs w:val="24"/>
        </w:rPr>
        <w:t>adult participants with T2D</w:t>
      </w:r>
      <w:r w:rsidR="00F238D3" w:rsidRPr="00842FE5">
        <w:rPr>
          <w:rFonts w:ascii="Times New Roman" w:hAnsi="Times New Roman" w:cs="Times New Roman"/>
          <w:color w:val="0D0D0D" w:themeColor="text1" w:themeTint="F2"/>
          <w:sz w:val="24"/>
          <w:szCs w:val="24"/>
        </w:rPr>
        <w:t>M</w:t>
      </w:r>
      <w:r w:rsidR="002F0E49" w:rsidRPr="00842FE5">
        <w:rPr>
          <w:rFonts w:ascii="Times New Roman" w:hAnsi="Times New Roman" w:cs="Times New Roman"/>
          <w:color w:val="0D0D0D" w:themeColor="text1" w:themeTint="F2"/>
          <w:sz w:val="24"/>
          <w:szCs w:val="24"/>
        </w:rPr>
        <w:t xml:space="preserve"> </w:t>
      </w:r>
      <w:r w:rsidR="009A155B" w:rsidRPr="00842FE5">
        <w:rPr>
          <w:rFonts w:ascii="Times New Roman" w:hAnsi="Times New Roman" w:cs="Times New Roman"/>
          <w:color w:val="0D0D0D" w:themeColor="text1" w:themeTint="F2"/>
          <w:sz w:val="24"/>
          <w:szCs w:val="24"/>
        </w:rPr>
        <w:t xml:space="preserve">who were </w:t>
      </w:r>
      <w:r w:rsidR="004D1163" w:rsidRPr="00842FE5">
        <w:rPr>
          <w:rFonts w:ascii="Times New Roman" w:hAnsi="Times New Roman" w:cs="Times New Roman"/>
          <w:color w:val="0D0D0D" w:themeColor="text1" w:themeTint="F2"/>
          <w:sz w:val="24"/>
          <w:szCs w:val="24"/>
        </w:rPr>
        <w:t xml:space="preserve">treated with </w:t>
      </w:r>
      <w:r w:rsidR="002F0E49" w:rsidRPr="00842FE5">
        <w:rPr>
          <w:rFonts w:ascii="Times New Roman" w:hAnsi="Times New Roman" w:cs="Times New Roman"/>
          <w:color w:val="0D0D0D" w:themeColor="text1" w:themeTint="F2"/>
          <w:sz w:val="24"/>
          <w:szCs w:val="24"/>
        </w:rPr>
        <w:t xml:space="preserve">standard of care </w:t>
      </w:r>
      <w:r w:rsidR="001B18C3" w:rsidRPr="00842FE5">
        <w:rPr>
          <w:rFonts w:ascii="Times New Roman" w:hAnsi="Times New Roman" w:cs="Times New Roman"/>
          <w:color w:val="0D0D0D" w:themeColor="text1" w:themeTint="F2"/>
          <w:sz w:val="24"/>
          <w:szCs w:val="24"/>
        </w:rPr>
        <w:t>BI</w:t>
      </w:r>
      <w:r w:rsidR="004F29FF" w:rsidRPr="00842FE5">
        <w:rPr>
          <w:rFonts w:ascii="Times New Roman" w:hAnsi="Times New Roman" w:cs="Times New Roman"/>
          <w:color w:val="0D0D0D" w:themeColor="text1" w:themeTint="F2"/>
          <w:sz w:val="24"/>
          <w:szCs w:val="24"/>
        </w:rPr>
        <w:t xml:space="preserve"> therapy (Gla</w:t>
      </w:r>
      <w:r w:rsidR="00B63587" w:rsidRPr="00842FE5">
        <w:rPr>
          <w:rFonts w:ascii="Times New Roman" w:hAnsi="Times New Roman" w:cs="Times New Roman"/>
          <w:color w:val="0D0D0D" w:themeColor="text1" w:themeTint="F2"/>
          <w:sz w:val="24"/>
          <w:szCs w:val="24"/>
        </w:rPr>
        <w:t>-</w:t>
      </w:r>
      <w:r w:rsidR="004F29FF" w:rsidRPr="00842FE5">
        <w:rPr>
          <w:rFonts w:ascii="Times New Roman" w:hAnsi="Times New Roman" w:cs="Times New Roman"/>
          <w:color w:val="0D0D0D" w:themeColor="text1" w:themeTint="F2"/>
          <w:sz w:val="24"/>
          <w:szCs w:val="24"/>
        </w:rPr>
        <w:t xml:space="preserve">100, detemir, degludec </w:t>
      </w:r>
      <w:r w:rsidR="00772E45" w:rsidRPr="00842FE5">
        <w:rPr>
          <w:rFonts w:ascii="Times New Roman" w:hAnsi="Times New Roman" w:cs="Times New Roman"/>
          <w:color w:val="0D0D0D" w:themeColor="text1" w:themeTint="F2"/>
          <w:sz w:val="24"/>
          <w:szCs w:val="24"/>
        </w:rPr>
        <w:t xml:space="preserve">or </w:t>
      </w:r>
      <w:r w:rsidR="00F00201" w:rsidRPr="00842FE5">
        <w:rPr>
          <w:rFonts w:ascii="Times New Roman" w:hAnsi="Times New Roman" w:cs="Times New Roman"/>
          <w:color w:val="0D0D0D" w:themeColor="text1" w:themeTint="F2"/>
          <w:sz w:val="24"/>
          <w:szCs w:val="24"/>
        </w:rPr>
        <w:t>neutral protamine Hagedorn [</w:t>
      </w:r>
      <w:r w:rsidR="004F29FF" w:rsidRPr="00842FE5">
        <w:rPr>
          <w:rFonts w:ascii="Times New Roman" w:hAnsi="Times New Roman" w:cs="Times New Roman"/>
          <w:color w:val="0D0D0D" w:themeColor="text1" w:themeTint="F2"/>
          <w:sz w:val="24"/>
          <w:szCs w:val="24"/>
        </w:rPr>
        <w:t>NPH</w:t>
      </w:r>
      <w:r w:rsidR="00F00201" w:rsidRPr="00842FE5">
        <w:rPr>
          <w:rFonts w:ascii="Times New Roman" w:hAnsi="Times New Roman" w:cs="Times New Roman"/>
          <w:color w:val="0D0D0D" w:themeColor="text1" w:themeTint="F2"/>
          <w:sz w:val="24"/>
          <w:szCs w:val="24"/>
        </w:rPr>
        <w:t>]</w:t>
      </w:r>
      <w:r w:rsidR="004F29FF" w:rsidRPr="00842FE5">
        <w:rPr>
          <w:rFonts w:ascii="Times New Roman" w:hAnsi="Times New Roman" w:cs="Times New Roman"/>
          <w:color w:val="0D0D0D" w:themeColor="text1" w:themeTint="F2"/>
          <w:sz w:val="24"/>
          <w:szCs w:val="24"/>
        </w:rPr>
        <w:t xml:space="preserve"> insulin)</w:t>
      </w:r>
      <w:r w:rsidR="00A41249" w:rsidRPr="00842FE5">
        <w:rPr>
          <w:rFonts w:ascii="Times New Roman" w:hAnsi="Times New Roman" w:cs="Times New Roman"/>
          <w:color w:val="0D0D0D" w:themeColor="text1" w:themeTint="F2"/>
          <w:sz w:val="24"/>
          <w:szCs w:val="24"/>
        </w:rPr>
        <w:t xml:space="preserve"> for at least 6 months</w:t>
      </w:r>
      <w:r w:rsidR="007A3D46">
        <w:rPr>
          <w:rFonts w:ascii="Times New Roman" w:hAnsi="Times New Roman" w:cs="Times New Roman"/>
          <w:color w:val="0D0D0D" w:themeColor="text1" w:themeTint="F2"/>
          <w:sz w:val="24"/>
          <w:szCs w:val="24"/>
        </w:rPr>
        <w:t xml:space="preserve"> and</w:t>
      </w:r>
      <w:r w:rsidR="00A71523" w:rsidRPr="00842FE5">
        <w:rPr>
          <w:rFonts w:ascii="Times New Roman" w:hAnsi="Times New Roman" w:cs="Times New Roman"/>
          <w:color w:val="0D0D0D" w:themeColor="text1" w:themeTint="F2"/>
          <w:sz w:val="24"/>
          <w:szCs w:val="24"/>
        </w:rPr>
        <w:t xml:space="preserve"> </w:t>
      </w:r>
      <w:r w:rsidR="00713DC4" w:rsidRPr="00842FE5">
        <w:rPr>
          <w:rFonts w:ascii="Times New Roman" w:hAnsi="Times New Roman" w:cs="Times New Roman"/>
          <w:color w:val="0D0D0D" w:themeColor="text1" w:themeTint="F2"/>
          <w:sz w:val="24"/>
          <w:szCs w:val="24"/>
        </w:rPr>
        <w:t xml:space="preserve">having </w:t>
      </w:r>
      <w:r w:rsidR="00F00201" w:rsidRPr="00842FE5">
        <w:rPr>
          <w:rFonts w:ascii="Times New Roman" w:hAnsi="Times New Roman" w:cs="Times New Roman"/>
          <w:color w:val="0D0D0D" w:themeColor="text1" w:themeTint="F2"/>
          <w:sz w:val="24"/>
          <w:szCs w:val="24"/>
        </w:rPr>
        <w:t xml:space="preserve">glycated haemoglobin </w:t>
      </w:r>
      <w:r w:rsidR="00883D7E" w:rsidRPr="00842FE5">
        <w:rPr>
          <w:rFonts w:ascii="Times New Roman" w:hAnsi="Times New Roman" w:cs="Times New Roman"/>
          <w:color w:val="0D0D0D" w:themeColor="text1" w:themeTint="F2"/>
          <w:sz w:val="24"/>
          <w:szCs w:val="24"/>
        </w:rPr>
        <w:t>(</w:t>
      </w:r>
      <w:r w:rsidR="00A41249" w:rsidRPr="00842FE5">
        <w:rPr>
          <w:rFonts w:ascii="Times New Roman" w:hAnsi="Times New Roman" w:cs="Times New Roman"/>
          <w:color w:val="0D0D0D" w:themeColor="text1" w:themeTint="F2"/>
          <w:sz w:val="24"/>
          <w:szCs w:val="24"/>
        </w:rPr>
        <w:t>HbA</w:t>
      </w:r>
      <w:r w:rsidR="00A41249" w:rsidRPr="00842FE5">
        <w:rPr>
          <w:rFonts w:ascii="Times New Roman" w:hAnsi="Times New Roman" w:cs="Times New Roman"/>
          <w:color w:val="0D0D0D" w:themeColor="text1" w:themeTint="F2"/>
          <w:sz w:val="24"/>
          <w:szCs w:val="24"/>
          <w:vertAlign w:val="subscript"/>
        </w:rPr>
        <w:t>1c</w:t>
      </w:r>
      <w:r w:rsidR="00883D7E" w:rsidRPr="00842FE5">
        <w:rPr>
          <w:rFonts w:ascii="Times New Roman" w:hAnsi="Times New Roman" w:cs="Times New Roman"/>
          <w:color w:val="0D0D0D" w:themeColor="text1" w:themeTint="F2"/>
          <w:sz w:val="24"/>
          <w:szCs w:val="24"/>
        </w:rPr>
        <w:t>)</w:t>
      </w:r>
      <w:r w:rsidR="00A41249" w:rsidRPr="00842FE5">
        <w:rPr>
          <w:rFonts w:ascii="Times New Roman" w:hAnsi="Times New Roman" w:cs="Times New Roman"/>
          <w:color w:val="0D0D0D" w:themeColor="text1" w:themeTint="F2"/>
          <w:sz w:val="24"/>
          <w:szCs w:val="24"/>
        </w:rPr>
        <w:t xml:space="preserve"> between 7.5% (58 mmol/mol) and 10% (86 mmol/mol) </w:t>
      </w:r>
      <w:r w:rsidR="00713DC4" w:rsidRPr="00842FE5">
        <w:rPr>
          <w:rFonts w:ascii="Times New Roman" w:hAnsi="Times New Roman" w:cs="Times New Roman"/>
          <w:color w:val="0D0D0D" w:themeColor="text1" w:themeTint="F2"/>
          <w:sz w:val="24"/>
          <w:szCs w:val="24"/>
        </w:rPr>
        <w:t>during screening</w:t>
      </w:r>
      <w:r w:rsidR="00C6627B" w:rsidRPr="00842FE5">
        <w:rPr>
          <w:rFonts w:ascii="Times New Roman" w:hAnsi="Times New Roman" w:cs="Times New Roman"/>
          <w:color w:val="0D0D0D" w:themeColor="text1" w:themeTint="F2"/>
          <w:sz w:val="24"/>
          <w:szCs w:val="24"/>
        </w:rPr>
        <w:t>,</w:t>
      </w:r>
      <w:r w:rsidR="00713DC4" w:rsidRPr="00842FE5">
        <w:rPr>
          <w:rFonts w:ascii="Times New Roman" w:hAnsi="Times New Roman" w:cs="Times New Roman"/>
          <w:color w:val="0D0D0D" w:themeColor="text1" w:themeTint="F2"/>
          <w:sz w:val="24"/>
          <w:szCs w:val="24"/>
        </w:rPr>
        <w:t xml:space="preserve"> </w:t>
      </w:r>
      <w:r w:rsidR="00503C6E" w:rsidRPr="00842FE5">
        <w:rPr>
          <w:rFonts w:ascii="Times New Roman" w:hAnsi="Times New Roman" w:cs="Times New Roman"/>
          <w:color w:val="0D0D0D" w:themeColor="text1" w:themeTint="F2"/>
          <w:sz w:val="24"/>
          <w:szCs w:val="24"/>
        </w:rPr>
        <w:t xml:space="preserve">with a </w:t>
      </w:r>
      <w:r w:rsidR="00D05534" w:rsidRPr="00842FE5">
        <w:rPr>
          <w:rFonts w:ascii="Times New Roman" w:hAnsi="Times New Roman" w:cs="Times New Roman"/>
          <w:color w:val="0D0D0D" w:themeColor="text1" w:themeTint="F2"/>
          <w:sz w:val="24"/>
          <w:szCs w:val="24"/>
        </w:rPr>
        <w:t xml:space="preserve">median of the last </w:t>
      </w:r>
      <w:r w:rsidR="00883D7E" w:rsidRPr="00842FE5">
        <w:rPr>
          <w:rFonts w:ascii="Times New Roman" w:hAnsi="Times New Roman" w:cs="Times New Roman"/>
          <w:color w:val="0D0D0D" w:themeColor="text1" w:themeTint="F2"/>
          <w:sz w:val="24"/>
          <w:szCs w:val="24"/>
        </w:rPr>
        <w:t xml:space="preserve">three </w:t>
      </w:r>
      <w:r w:rsidR="00D05534" w:rsidRPr="00842FE5">
        <w:rPr>
          <w:rFonts w:ascii="Times New Roman" w:hAnsi="Times New Roman" w:cs="Times New Roman"/>
          <w:color w:val="0D0D0D" w:themeColor="text1" w:themeTint="F2"/>
          <w:sz w:val="24"/>
          <w:szCs w:val="24"/>
        </w:rPr>
        <w:t>consecutive fasting</w:t>
      </w:r>
      <w:r w:rsidR="00286F0E" w:rsidRPr="00842FE5">
        <w:rPr>
          <w:rFonts w:ascii="Times New Roman" w:hAnsi="Times New Roman" w:cs="Times New Roman"/>
          <w:color w:val="0D0D0D" w:themeColor="text1" w:themeTint="F2"/>
          <w:sz w:val="24"/>
          <w:szCs w:val="24"/>
        </w:rPr>
        <w:t xml:space="preserve"> self-monitored plasma glucose</w:t>
      </w:r>
      <w:r w:rsidR="00D05534" w:rsidRPr="00842FE5">
        <w:rPr>
          <w:rFonts w:ascii="Times New Roman" w:hAnsi="Times New Roman" w:cs="Times New Roman"/>
          <w:color w:val="0D0D0D" w:themeColor="text1" w:themeTint="F2"/>
          <w:sz w:val="24"/>
          <w:szCs w:val="24"/>
        </w:rPr>
        <w:t xml:space="preserve"> </w:t>
      </w:r>
      <w:r w:rsidR="00286F0E" w:rsidRPr="00842FE5">
        <w:rPr>
          <w:rFonts w:ascii="Times New Roman" w:hAnsi="Times New Roman" w:cs="Times New Roman"/>
          <w:color w:val="0D0D0D" w:themeColor="text1" w:themeTint="F2"/>
          <w:sz w:val="24"/>
          <w:szCs w:val="24"/>
        </w:rPr>
        <w:t>(</w:t>
      </w:r>
      <w:r w:rsidR="00D05534" w:rsidRPr="00842FE5">
        <w:rPr>
          <w:rFonts w:ascii="Times New Roman" w:hAnsi="Times New Roman" w:cs="Times New Roman"/>
          <w:color w:val="0D0D0D" w:themeColor="text1" w:themeTint="F2"/>
          <w:sz w:val="24"/>
          <w:szCs w:val="24"/>
        </w:rPr>
        <w:t>SMPG</w:t>
      </w:r>
      <w:r w:rsidR="00286F0E" w:rsidRPr="00842FE5">
        <w:rPr>
          <w:rFonts w:ascii="Times New Roman" w:hAnsi="Times New Roman" w:cs="Times New Roman"/>
          <w:color w:val="0D0D0D" w:themeColor="text1" w:themeTint="F2"/>
          <w:sz w:val="24"/>
          <w:szCs w:val="24"/>
        </w:rPr>
        <w:t>)</w:t>
      </w:r>
      <w:r w:rsidR="00D05534" w:rsidRPr="00842FE5">
        <w:rPr>
          <w:rFonts w:ascii="Times New Roman" w:hAnsi="Times New Roman" w:cs="Times New Roman"/>
          <w:color w:val="0D0D0D" w:themeColor="text1" w:themeTint="F2"/>
          <w:sz w:val="24"/>
          <w:szCs w:val="24"/>
        </w:rPr>
        <w:t xml:space="preserve"> values </w:t>
      </w:r>
      <w:r w:rsidR="00793251" w:rsidRPr="00842FE5">
        <w:rPr>
          <w:rFonts w:ascii="Times New Roman" w:hAnsi="Times New Roman" w:cs="Times New Roman"/>
          <w:color w:val="0D0D0D" w:themeColor="text1" w:themeTint="F2"/>
          <w:sz w:val="24"/>
          <w:szCs w:val="24"/>
        </w:rPr>
        <w:t xml:space="preserve">&gt;130 mg/dL </w:t>
      </w:r>
      <w:r w:rsidR="00D05534" w:rsidRPr="00842FE5">
        <w:rPr>
          <w:rFonts w:ascii="Times New Roman" w:hAnsi="Times New Roman" w:cs="Times New Roman"/>
          <w:color w:val="0D0D0D" w:themeColor="text1" w:themeTint="F2"/>
          <w:sz w:val="24"/>
          <w:szCs w:val="24"/>
        </w:rPr>
        <w:t xml:space="preserve">prior to baseline or at least </w:t>
      </w:r>
      <w:r w:rsidR="00181390" w:rsidRPr="00842FE5">
        <w:rPr>
          <w:rFonts w:ascii="Times New Roman" w:hAnsi="Times New Roman" w:cs="Times New Roman"/>
          <w:color w:val="0D0D0D" w:themeColor="text1" w:themeTint="F2"/>
          <w:sz w:val="24"/>
          <w:szCs w:val="24"/>
        </w:rPr>
        <w:t xml:space="preserve">two </w:t>
      </w:r>
      <w:r w:rsidR="00D05534" w:rsidRPr="00842FE5">
        <w:rPr>
          <w:rFonts w:ascii="Times New Roman" w:hAnsi="Times New Roman" w:cs="Times New Roman"/>
          <w:color w:val="0D0D0D" w:themeColor="text1" w:themeTint="F2"/>
          <w:sz w:val="24"/>
          <w:szCs w:val="24"/>
        </w:rPr>
        <w:t>fasting SMPG values</w:t>
      </w:r>
      <w:r w:rsidR="00952639" w:rsidRPr="00842FE5">
        <w:rPr>
          <w:rFonts w:ascii="Times New Roman" w:hAnsi="Times New Roman" w:cs="Times New Roman"/>
          <w:color w:val="0D0D0D" w:themeColor="text1" w:themeTint="F2"/>
          <w:sz w:val="24"/>
          <w:szCs w:val="24"/>
        </w:rPr>
        <w:t>&gt;130 mg/dL</w:t>
      </w:r>
      <w:r w:rsidR="00D05534" w:rsidRPr="00842FE5">
        <w:rPr>
          <w:rFonts w:ascii="Times New Roman" w:hAnsi="Times New Roman" w:cs="Times New Roman"/>
          <w:color w:val="0D0D0D" w:themeColor="text1" w:themeTint="F2"/>
          <w:sz w:val="24"/>
          <w:szCs w:val="24"/>
        </w:rPr>
        <w:t xml:space="preserve"> in the week prior to baseline</w:t>
      </w:r>
      <w:r w:rsidR="007A3D46">
        <w:rPr>
          <w:rFonts w:ascii="Times New Roman" w:hAnsi="Times New Roman" w:cs="Times New Roman"/>
          <w:color w:val="0D0D0D" w:themeColor="text1" w:themeTint="F2"/>
          <w:sz w:val="24"/>
          <w:szCs w:val="24"/>
        </w:rPr>
        <w:t>.</w:t>
      </w:r>
      <w:r w:rsidR="00D05534" w:rsidRPr="00842FE5">
        <w:rPr>
          <w:rFonts w:ascii="Times New Roman" w:hAnsi="Times New Roman" w:cs="Times New Roman"/>
          <w:color w:val="0D0D0D" w:themeColor="text1" w:themeTint="F2"/>
          <w:sz w:val="24"/>
          <w:szCs w:val="24"/>
        </w:rPr>
        <w:t xml:space="preserve"> </w:t>
      </w:r>
      <w:r w:rsidR="00143746" w:rsidRPr="00842FE5">
        <w:rPr>
          <w:rFonts w:ascii="Times New Roman" w:hAnsi="Times New Roman" w:cs="Times New Roman"/>
          <w:color w:val="0D0D0D" w:themeColor="text1" w:themeTint="F2"/>
          <w:sz w:val="24"/>
          <w:szCs w:val="24"/>
        </w:rPr>
        <w:t xml:space="preserve">Participants </w:t>
      </w:r>
      <w:r w:rsidR="00A85497" w:rsidRPr="00842FE5">
        <w:rPr>
          <w:rFonts w:ascii="Times New Roman" w:hAnsi="Times New Roman" w:cs="Times New Roman"/>
          <w:color w:val="0D0D0D" w:themeColor="text1" w:themeTint="F2"/>
          <w:sz w:val="24"/>
          <w:szCs w:val="24"/>
        </w:rPr>
        <w:t xml:space="preserve">treated with </w:t>
      </w:r>
      <w:r w:rsidR="00BD263C" w:rsidRPr="00842FE5">
        <w:rPr>
          <w:rFonts w:ascii="Times New Roman" w:hAnsi="Times New Roman" w:cs="Times New Roman"/>
          <w:color w:val="0D0D0D" w:themeColor="text1" w:themeTint="F2"/>
          <w:sz w:val="24"/>
          <w:szCs w:val="24"/>
        </w:rPr>
        <w:t xml:space="preserve">any </w:t>
      </w:r>
      <w:r w:rsidR="00A85497" w:rsidRPr="00842FE5">
        <w:rPr>
          <w:rFonts w:ascii="Times New Roman" w:hAnsi="Times New Roman" w:cs="Times New Roman"/>
          <w:color w:val="0D0D0D" w:themeColor="text1" w:themeTint="F2"/>
          <w:sz w:val="24"/>
          <w:szCs w:val="24"/>
        </w:rPr>
        <w:t xml:space="preserve">insulin other </w:t>
      </w:r>
      <w:r w:rsidR="00F71377" w:rsidRPr="00842FE5">
        <w:rPr>
          <w:rFonts w:ascii="Times New Roman" w:hAnsi="Times New Roman" w:cs="Times New Roman"/>
          <w:color w:val="0D0D0D" w:themeColor="text1" w:themeTint="F2"/>
          <w:sz w:val="24"/>
          <w:szCs w:val="24"/>
        </w:rPr>
        <w:t xml:space="preserve">than </w:t>
      </w:r>
      <w:r w:rsidR="004A49E9" w:rsidRPr="00842FE5">
        <w:rPr>
          <w:rFonts w:ascii="Times New Roman" w:hAnsi="Times New Roman" w:cs="Times New Roman"/>
          <w:color w:val="0D0D0D" w:themeColor="text1" w:themeTint="F2"/>
          <w:sz w:val="24"/>
          <w:szCs w:val="24"/>
        </w:rPr>
        <w:t>BI</w:t>
      </w:r>
      <w:r w:rsidR="008D44CD" w:rsidRPr="00842FE5">
        <w:rPr>
          <w:rFonts w:ascii="Times New Roman" w:hAnsi="Times New Roman" w:cs="Times New Roman"/>
          <w:color w:val="0D0D0D" w:themeColor="text1" w:themeTint="F2"/>
          <w:sz w:val="24"/>
          <w:szCs w:val="24"/>
        </w:rPr>
        <w:t xml:space="preserve"> and</w:t>
      </w:r>
      <w:r w:rsidR="009C5780" w:rsidRPr="00842FE5">
        <w:rPr>
          <w:rFonts w:ascii="Times New Roman" w:hAnsi="Times New Roman" w:cs="Times New Roman"/>
          <w:color w:val="0D0D0D" w:themeColor="text1" w:themeTint="F2"/>
          <w:sz w:val="24"/>
          <w:szCs w:val="24"/>
        </w:rPr>
        <w:t>/or</w:t>
      </w:r>
      <w:r w:rsidR="008D44CD" w:rsidRPr="00842FE5">
        <w:rPr>
          <w:rFonts w:ascii="Times New Roman" w:hAnsi="Times New Roman" w:cs="Times New Roman"/>
          <w:color w:val="0D0D0D" w:themeColor="text1" w:themeTint="F2"/>
          <w:sz w:val="24"/>
          <w:szCs w:val="24"/>
        </w:rPr>
        <w:t xml:space="preserve"> treated with </w:t>
      </w:r>
      <w:r w:rsidR="00143746" w:rsidRPr="00842FE5">
        <w:rPr>
          <w:rFonts w:ascii="Times New Roman" w:hAnsi="Times New Roman" w:cs="Times New Roman"/>
          <w:color w:val="0D0D0D" w:themeColor="text1" w:themeTint="F2"/>
          <w:sz w:val="24"/>
          <w:szCs w:val="24"/>
        </w:rPr>
        <w:t xml:space="preserve">unstable </w:t>
      </w:r>
      <w:r w:rsidR="004A3A94" w:rsidRPr="00842FE5">
        <w:rPr>
          <w:rFonts w:ascii="Times New Roman" w:hAnsi="Times New Roman" w:cs="Times New Roman"/>
          <w:color w:val="0D0D0D" w:themeColor="text1" w:themeTint="F2"/>
          <w:sz w:val="24"/>
          <w:szCs w:val="24"/>
        </w:rPr>
        <w:t xml:space="preserve">BI </w:t>
      </w:r>
      <w:r w:rsidR="002C3B86" w:rsidRPr="00842FE5">
        <w:rPr>
          <w:rFonts w:ascii="Times New Roman" w:hAnsi="Times New Roman" w:cs="Times New Roman"/>
          <w:color w:val="0D0D0D" w:themeColor="text1" w:themeTint="F2"/>
          <w:sz w:val="24"/>
          <w:szCs w:val="24"/>
        </w:rPr>
        <w:t xml:space="preserve">regimen </w:t>
      </w:r>
      <w:r w:rsidR="00DD4712" w:rsidRPr="00842FE5">
        <w:rPr>
          <w:rFonts w:ascii="Times New Roman" w:hAnsi="Times New Roman" w:cs="Times New Roman"/>
          <w:color w:val="0D0D0D" w:themeColor="text1" w:themeTint="F2"/>
          <w:sz w:val="24"/>
          <w:szCs w:val="24"/>
        </w:rPr>
        <w:t xml:space="preserve">during </w:t>
      </w:r>
      <w:r w:rsidR="00A52AAB" w:rsidRPr="00842FE5">
        <w:rPr>
          <w:rFonts w:ascii="Times New Roman" w:hAnsi="Times New Roman" w:cs="Times New Roman"/>
          <w:color w:val="0D0D0D" w:themeColor="text1" w:themeTint="F2"/>
          <w:sz w:val="24"/>
          <w:szCs w:val="24"/>
        </w:rPr>
        <w:t xml:space="preserve">the last 8 weeks prior to </w:t>
      </w:r>
      <w:r w:rsidR="00DD4712" w:rsidRPr="00842FE5">
        <w:rPr>
          <w:rFonts w:ascii="Times New Roman" w:hAnsi="Times New Roman" w:cs="Times New Roman"/>
          <w:color w:val="0D0D0D" w:themeColor="text1" w:themeTint="F2"/>
          <w:sz w:val="24"/>
          <w:szCs w:val="24"/>
        </w:rPr>
        <w:t xml:space="preserve">the </w:t>
      </w:r>
      <w:r w:rsidR="00A52AAB" w:rsidRPr="00842FE5">
        <w:rPr>
          <w:rFonts w:ascii="Times New Roman" w:hAnsi="Times New Roman" w:cs="Times New Roman"/>
          <w:color w:val="0D0D0D" w:themeColor="text1" w:themeTint="F2"/>
          <w:sz w:val="24"/>
          <w:szCs w:val="24"/>
        </w:rPr>
        <w:t>screening visit</w:t>
      </w:r>
      <w:r w:rsidR="00143746" w:rsidRPr="00842FE5">
        <w:rPr>
          <w:rFonts w:ascii="Times New Roman" w:hAnsi="Times New Roman" w:cs="Times New Roman"/>
          <w:color w:val="0D0D0D" w:themeColor="text1" w:themeTint="F2"/>
          <w:sz w:val="24"/>
          <w:szCs w:val="24"/>
        </w:rPr>
        <w:t xml:space="preserve"> </w:t>
      </w:r>
      <w:r w:rsidR="0095262C" w:rsidRPr="00842FE5">
        <w:rPr>
          <w:rFonts w:ascii="Times New Roman" w:hAnsi="Times New Roman" w:cs="Times New Roman"/>
          <w:color w:val="0D0D0D" w:themeColor="text1" w:themeTint="F2"/>
          <w:sz w:val="24"/>
          <w:szCs w:val="24"/>
        </w:rPr>
        <w:t>were excluded</w:t>
      </w:r>
      <w:r w:rsidR="00695AD2" w:rsidRPr="00842FE5">
        <w:rPr>
          <w:rFonts w:ascii="Times New Roman" w:hAnsi="Times New Roman" w:cs="Times New Roman"/>
          <w:color w:val="0D0D0D" w:themeColor="text1" w:themeTint="F2"/>
          <w:sz w:val="24"/>
          <w:szCs w:val="24"/>
        </w:rPr>
        <w:t xml:space="preserve">. </w:t>
      </w:r>
      <w:r w:rsidR="00B123E4" w:rsidRPr="00842FE5">
        <w:rPr>
          <w:rFonts w:ascii="Times New Roman" w:hAnsi="Times New Roman" w:cs="Times New Roman"/>
          <w:color w:val="0D0D0D" w:themeColor="text1" w:themeTint="F2"/>
          <w:sz w:val="24"/>
          <w:szCs w:val="24"/>
          <w:lang w:val="en-IN"/>
        </w:rPr>
        <w:t xml:space="preserve">The trial was conducted between January 2019 and October 2020, which included the </w:t>
      </w:r>
      <w:r w:rsidR="008343BB" w:rsidRPr="00842FE5">
        <w:rPr>
          <w:rFonts w:ascii="Times New Roman" w:hAnsi="Times New Roman" w:cs="Times New Roman"/>
          <w:color w:val="0D0D0D" w:themeColor="text1" w:themeTint="F2"/>
          <w:sz w:val="24"/>
          <w:szCs w:val="24"/>
          <w:lang w:val="en-IN"/>
        </w:rPr>
        <w:t>coronavirus disease 2019 (</w:t>
      </w:r>
      <w:r w:rsidR="00B123E4" w:rsidRPr="00842FE5">
        <w:rPr>
          <w:rFonts w:ascii="Times New Roman" w:hAnsi="Times New Roman" w:cs="Times New Roman"/>
          <w:color w:val="0D0D0D" w:themeColor="text1" w:themeTint="F2"/>
          <w:sz w:val="24"/>
          <w:szCs w:val="24"/>
          <w:lang w:val="en-IN"/>
        </w:rPr>
        <w:t>COVID-19</w:t>
      </w:r>
      <w:r w:rsidR="008343BB" w:rsidRPr="00842FE5">
        <w:rPr>
          <w:rFonts w:ascii="Times New Roman" w:hAnsi="Times New Roman" w:cs="Times New Roman"/>
          <w:color w:val="0D0D0D" w:themeColor="text1" w:themeTint="F2"/>
          <w:sz w:val="24"/>
          <w:szCs w:val="24"/>
          <w:lang w:val="en-IN"/>
        </w:rPr>
        <w:t>)</w:t>
      </w:r>
      <w:r w:rsidR="00B123E4" w:rsidRPr="00842FE5">
        <w:rPr>
          <w:rFonts w:ascii="Times New Roman" w:hAnsi="Times New Roman" w:cs="Times New Roman"/>
          <w:color w:val="0D0D0D" w:themeColor="text1" w:themeTint="F2"/>
          <w:sz w:val="24"/>
          <w:szCs w:val="24"/>
          <w:lang w:val="en-IN"/>
        </w:rPr>
        <w:t xml:space="preserve"> pandemic period. </w:t>
      </w:r>
      <w:r w:rsidR="00DC670D" w:rsidRPr="00842FE5">
        <w:rPr>
          <w:rFonts w:ascii="Times New Roman" w:hAnsi="Times New Roman" w:cs="Times New Roman"/>
          <w:color w:val="0D0D0D" w:themeColor="text1" w:themeTint="F2"/>
          <w:sz w:val="24"/>
          <w:szCs w:val="24"/>
        </w:rPr>
        <w:t xml:space="preserve">The COVID-19 pandemic impacted the study </w:t>
      </w:r>
      <w:r w:rsidR="00DC670D" w:rsidRPr="00842FE5">
        <w:rPr>
          <w:rFonts w:ascii="Times New Roman" w:hAnsi="Times New Roman" w:cs="Times New Roman"/>
          <w:color w:val="0D0D0D" w:themeColor="text1" w:themeTint="F2"/>
          <w:sz w:val="24"/>
          <w:szCs w:val="24"/>
        </w:rPr>
        <w:lastRenderedPageBreak/>
        <w:t xml:space="preserve">monitoring, laboratory assessments, and the delivery of </w:t>
      </w:r>
      <w:r w:rsidR="00B05C07" w:rsidRPr="00842FE5">
        <w:rPr>
          <w:rFonts w:ascii="Times New Roman" w:hAnsi="Times New Roman" w:cs="Times New Roman"/>
          <w:color w:val="0D0D0D" w:themeColor="text1" w:themeTint="F2"/>
          <w:sz w:val="24"/>
          <w:szCs w:val="24"/>
        </w:rPr>
        <w:t xml:space="preserve">the </w:t>
      </w:r>
      <w:r w:rsidR="00A075F4" w:rsidRPr="00842FE5">
        <w:rPr>
          <w:rFonts w:ascii="Times New Roman" w:hAnsi="Times New Roman" w:cs="Times New Roman"/>
          <w:color w:val="0D0D0D" w:themeColor="text1" w:themeTint="F2"/>
          <w:sz w:val="24"/>
          <w:szCs w:val="24"/>
        </w:rPr>
        <w:t>study drug</w:t>
      </w:r>
      <w:r w:rsidR="00DC670D" w:rsidRPr="00842FE5">
        <w:rPr>
          <w:rFonts w:ascii="Times New Roman" w:hAnsi="Times New Roman" w:cs="Times New Roman"/>
          <w:color w:val="0D0D0D" w:themeColor="text1" w:themeTint="F2"/>
          <w:sz w:val="24"/>
          <w:szCs w:val="24"/>
        </w:rPr>
        <w:t xml:space="preserve"> to </w:t>
      </w:r>
      <w:r w:rsidR="00A075F4" w:rsidRPr="00842FE5">
        <w:rPr>
          <w:rFonts w:ascii="Times New Roman" w:hAnsi="Times New Roman" w:cs="Times New Roman"/>
          <w:color w:val="0D0D0D" w:themeColor="text1" w:themeTint="F2"/>
          <w:sz w:val="24"/>
          <w:szCs w:val="24"/>
        </w:rPr>
        <w:t>participants</w:t>
      </w:r>
      <w:r w:rsidR="00DC670D" w:rsidRPr="00842FE5">
        <w:rPr>
          <w:rFonts w:ascii="Times New Roman" w:hAnsi="Times New Roman" w:cs="Times New Roman"/>
          <w:color w:val="0D0D0D" w:themeColor="text1" w:themeTint="F2"/>
          <w:sz w:val="24"/>
          <w:szCs w:val="24"/>
        </w:rPr>
        <w:t>; however, there was limited impact on recruitment or data monitoring</w:t>
      </w:r>
      <w:r w:rsidR="000F1057" w:rsidRPr="00842FE5">
        <w:rPr>
          <w:rFonts w:ascii="Times New Roman" w:hAnsi="Times New Roman" w:cs="Times New Roman"/>
          <w:color w:val="0D0D0D" w:themeColor="text1" w:themeTint="F2"/>
          <w:sz w:val="24"/>
          <w:szCs w:val="24"/>
        </w:rPr>
        <w:t xml:space="preserve"> committees</w:t>
      </w:r>
      <w:r w:rsidR="00DC670D" w:rsidRPr="00842FE5">
        <w:rPr>
          <w:rFonts w:ascii="Times New Roman" w:hAnsi="Times New Roman" w:cs="Times New Roman"/>
          <w:color w:val="0D0D0D" w:themeColor="text1" w:themeTint="F2"/>
          <w:sz w:val="24"/>
          <w:szCs w:val="24"/>
        </w:rPr>
        <w:t xml:space="preserve">. </w:t>
      </w:r>
    </w:p>
    <w:p w14:paraId="4B0BC20A" w14:textId="36789D00" w:rsidR="00A5706C" w:rsidRPr="00842FE5" w:rsidRDefault="005C10A7" w:rsidP="003A36AC">
      <w:pPr>
        <w:tabs>
          <w:tab w:val="left" w:pos="3441"/>
        </w:tabs>
        <w:spacing w:line="480" w:lineRule="auto"/>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T</w:t>
      </w:r>
      <w:r w:rsidR="005F55B2" w:rsidRPr="00842FE5">
        <w:rPr>
          <w:rFonts w:ascii="Times New Roman" w:hAnsi="Times New Roman" w:cs="Times New Roman"/>
          <w:color w:val="0D0D0D" w:themeColor="text1" w:themeTint="F2"/>
          <w:sz w:val="24"/>
          <w:szCs w:val="24"/>
        </w:rPr>
        <w:t>h</w:t>
      </w:r>
      <w:r w:rsidRPr="00842FE5">
        <w:rPr>
          <w:rFonts w:ascii="Times New Roman" w:hAnsi="Times New Roman" w:cs="Times New Roman"/>
          <w:color w:val="0D0D0D" w:themeColor="text1" w:themeTint="F2"/>
          <w:sz w:val="24"/>
          <w:szCs w:val="24"/>
        </w:rPr>
        <w:t>e study protocol</w:t>
      </w:r>
      <w:r w:rsidR="00484FEE" w:rsidRPr="00842FE5">
        <w:rPr>
          <w:rFonts w:ascii="Times New Roman" w:hAnsi="Times New Roman" w:cs="Times New Roman"/>
          <w:color w:val="0D0D0D" w:themeColor="text1" w:themeTint="F2"/>
          <w:sz w:val="24"/>
          <w:szCs w:val="24"/>
        </w:rPr>
        <w:t xml:space="preserve"> and other relevant study-related documents were approved by an </w:t>
      </w:r>
      <w:r w:rsidR="005F55B2" w:rsidRPr="00842FE5">
        <w:rPr>
          <w:rFonts w:ascii="Times New Roman" w:hAnsi="Times New Roman" w:cs="Times New Roman"/>
          <w:color w:val="0D0D0D" w:themeColor="text1" w:themeTint="F2"/>
          <w:sz w:val="24"/>
          <w:szCs w:val="24"/>
        </w:rPr>
        <w:t>institutional review board (IRB) or independent ethics committee (IEC) at each study centre.</w:t>
      </w:r>
      <w:r w:rsidRPr="00842FE5">
        <w:rPr>
          <w:rFonts w:ascii="Times New Roman" w:hAnsi="Times New Roman" w:cs="Times New Roman"/>
          <w:color w:val="0D0D0D" w:themeColor="text1" w:themeTint="F2"/>
          <w:sz w:val="24"/>
          <w:szCs w:val="24"/>
        </w:rPr>
        <w:t xml:space="preserve"> </w:t>
      </w:r>
      <w:r w:rsidR="006B59FE" w:rsidRPr="00842FE5">
        <w:rPr>
          <w:rFonts w:ascii="Times New Roman" w:hAnsi="Times New Roman" w:cs="Times New Roman"/>
          <w:color w:val="0D0D0D" w:themeColor="text1" w:themeTint="F2"/>
          <w:sz w:val="24"/>
          <w:szCs w:val="24"/>
        </w:rPr>
        <w:t xml:space="preserve">The study was conducted </w:t>
      </w:r>
      <w:r w:rsidRPr="00842FE5">
        <w:rPr>
          <w:rFonts w:ascii="Times New Roman" w:hAnsi="Times New Roman" w:cs="Times New Roman"/>
          <w:color w:val="0D0D0D" w:themeColor="text1" w:themeTint="F2"/>
          <w:sz w:val="24"/>
          <w:szCs w:val="24"/>
        </w:rPr>
        <w:t xml:space="preserve">in accordance </w:t>
      </w:r>
      <w:r w:rsidR="006B59FE" w:rsidRPr="00842FE5">
        <w:rPr>
          <w:rFonts w:ascii="Times New Roman" w:hAnsi="Times New Roman" w:cs="Times New Roman"/>
          <w:color w:val="0D0D0D" w:themeColor="text1" w:themeTint="F2"/>
          <w:sz w:val="24"/>
          <w:szCs w:val="24"/>
        </w:rPr>
        <w:t xml:space="preserve">with the </w:t>
      </w:r>
      <w:r w:rsidRPr="00842FE5">
        <w:rPr>
          <w:rFonts w:ascii="Times New Roman" w:hAnsi="Times New Roman" w:cs="Times New Roman"/>
          <w:color w:val="0D0D0D" w:themeColor="text1" w:themeTint="F2"/>
          <w:sz w:val="24"/>
          <w:szCs w:val="24"/>
        </w:rPr>
        <w:t>approved protocol</w:t>
      </w:r>
      <w:r w:rsidR="005F55B2" w:rsidRPr="00842FE5">
        <w:rPr>
          <w:rFonts w:ascii="Times New Roman" w:hAnsi="Times New Roman" w:cs="Times New Roman"/>
          <w:color w:val="0D0D0D" w:themeColor="text1" w:themeTint="F2"/>
          <w:sz w:val="24"/>
          <w:szCs w:val="24"/>
        </w:rPr>
        <w:t>,</w:t>
      </w:r>
      <w:r w:rsidRPr="00842FE5">
        <w:rPr>
          <w:rFonts w:ascii="Times New Roman" w:hAnsi="Times New Roman" w:cs="Times New Roman"/>
          <w:color w:val="0D0D0D" w:themeColor="text1" w:themeTint="F2"/>
          <w:sz w:val="24"/>
          <w:szCs w:val="24"/>
        </w:rPr>
        <w:t xml:space="preserve"> </w:t>
      </w:r>
      <w:r w:rsidR="006B59FE" w:rsidRPr="00842FE5">
        <w:rPr>
          <w:rFonts w:ascii="Times New Roman" w:hAnsi="Times New Roman" w:cs="Times New Roman"/>
          <w:color w:val="0D0D0D" w:themeColor="text1" w:themeTint="F2"/>
          <w:sz w:val="24"/>
          <w:szCs w:val="24"/>
        </w:rPr>
        <w:t xml:space="preserve">ethical standards </w:t>
      </w:r>
      <w:r w:rsidR="001370F7" w:rsidRPr="00842FE5">
        <w:rPr>
          <w:rFonts w:ascii="Times New Roman" w:hAnsi="Times New Roman" w:cs="Times New Roman"/>
          <w:color w:val="0D0D0D" w:themeColor="text1" w:themeTint="F2"/>
          <w:sz w:val="24"/>
          <w:szCs w:val="24"/>
        </w:rPr>
        <w:t xml:space="preserve">derived from international guidelines including </w:t>
      </w:r>
      <w:r w:rsidR="006B59FE" w:rsidRPr="00842FE5">
        <w:rPr>
          <w:rFonts w:ascii="Times New Roman" w:hAnsi="Times New Roman" w:cs="Times New Roman"/>
          <w:color w:val="0D0D0D" w:themeColor="text1" w:themeTint="F2"/>
          <w:sz w:val="24"/>
          <w:szCs w:val="24"/>
        </w:rPr>
        <w:t xml:space="preserve">the Declaration of Helsinki </w:t>
      </w:r>
      <w:r w:rsidR="003A36AC" w:rsidRPr="00842FE5">
        <w:rPr>
          <w:rFonts w:ascii="Times New Roman" w:hAnsi="Times New Roman" w:cs="Times New Roman"/>
          <w:color w:val="0D0D0D" w:themeColor="text1" w:themeTint="F2"/>
          <w:sz w:val="24"/>
          <w:szCs w:val="24"/>
        </w:rPr>
        <w:t>and</w:t>
      </w:r>
      <w:r w:rsidR="006B59FE" w:rsidRPr="00842FE5">
        <w:rPr>
          <w:rFonts w:ascii="Times New Roman" w:hAnsi="Times New Roman" w:cs="Times New Roman"/>
          <w:color w:val="0D0D0D" w:themeColor="text1" w:themeTint="F2"/>
          <w:sz w:val="24"/>
          <w:szCs w:val="24"/>
        </w:rPr>
        <w:t xml:space="preserve"> </w:t>
      </w:r>
      <w:r w:rsidR="003A36AC" w:rsidRPr="00842FE5">
        <w:rPr>
          <w:rFonts w:ascii="Times New Roman" w:hAnsi="Times New Roman" w:cs="Times New Roman"/>
          <w:color w:val="0D0D0D" w:themeColor="text1" w:themeTint="F2"/>
          <w:sz w:val="24"/>
          <w:szCs w:val="24"/>
        </w:rPr>
        <w:t>Council for International</w:t>
      </w:r>
      <w:r w:rsidR="00427D64" w:rsidRPr="00842FE5">
        <w:rPr>
          <w:rFonts w:ascii="Times New Roman" w:hAnsi="Times New Roman" w:cs="Times New Roman"/>
          <w:color w:val="0D0D0D" w:themeColor="text1" w:themeTint="F2"/>
          <w:sz w:val="24"/>
          <w:szCs w:val="24"/>
        </w:rPr>
        <w:t xml:space="preserve"> </w:t>
      </w:r>
      <w:r w:rsidR="003A36AC" w:rsidRPr="00842FE5">
        <w:rPr>
          <w:rFonts w:ascii="Times New Roman" w:hAnsi="Times New Roman" w:cs="Times New Roman"/>
          <w:color w:val="0D0D0D" w:themeColor="text1" w:themeTint="F2"/>
          <w:sz w:val="24"/>
          <w:szCs w:val="24"/>
        </w:rPr>
        <w:t xml:space="preserve">Organizations of Medical Sciences International Ethical Guidelines and applicable </w:t>
      </w:r>
      <w:r w:rsidR="006B59FE" w:rsidRPr="00842FE5">
        <w:rPr>
          <w:rFonts w:ascii="Times New Roman" w:hAnsi="Times New Roman" w:cs="Times New Roman"/>
          <w:color w:val="0D0D0D" w:themeColor="text1" w:themeTint="F2"/>
          <w:sz w:val="24"/>
          <w:szCs w:val="24"/>
        </w:rPr>
        <w:t xml:space="preserve">International Council for Harmonisation (ICH) Good Clinical Practice (GCP) Guidelines. </w:t>
      </w:r>
      <w:r w:rsidR="00C940F8" w:rsidRPr="00842FE5">
        <w:rPr>
          <w:rFonts w:ascii="Times New Roman" w:hAnsi="Times New Roman" w:cs="Times New Roman"/>
          <w:color w:val="0D0D0D" w:themeColor="text1" w:themeTint="F2"/>
          <w:sz w:val="24"/>
          <w:szCs w:val="24"/>
        </w:rPr>
        <w:t>All participants provided written informed consent</w:t>
      </w:r>
      <w:r w:rsidR="003A36AC" w:rsidRPr="00842FE5">
        <w:rPr>
          <w:rFonts w:ascii="Times New Roman" w:hAnsi="Times New Roman" w:cs="Times New Roman"/>
          <w:color w:val="0D0D0D" w:themeColor="text1" w:themeTint="F2"/>
          <w:sz w:val="24"/>
          <w:szCs w:val="24"/>
        </w:rPr>
        <w:t xml:space="preserve"> prior to participation in the study</w:t>
      </w:r>
      <w:r w:rsidR="00695AD2" w:rsidRPr="00842FE5">
        <w:rPr>
          <w:rFonts w:ascii="Times New Roman" w:hAnsi="Times New Roman" w:cs="Times New Roman"/>
          <w:color w:val="0D0D0D" w:themeColor="text1" w:themeTint="F2"/>
          <w:sz w:val="24"/>
          <w:szCs w:val="24"/>
        </w:rPr>
        <w:t>.</w:t>
      </w:r>
    </w:p>
    <w:p w14:paraId="2455FADF" w14:textId="481AFD2D" w:rsidR="006A057B" w:rsidRPr="00842FE5" w:rsidRDefault="00876EBE" w:rsidP="003858C4">
      <w:pPr>
        <w:spacing w:line="480" w:lineRule="auto"/>
        <w:rPr>
          <w:rFonts w:ascii="Times New Roman" w:hAnsi="Times New Roman" w:cs="Times New Roman"/>
          <w:b/>
          <w:bCs/>
          <w:i/>
          <w:iCs/>
          <w:color w:val="0D0D0D" w:themeColor="text1" w:themeTint="F2"/>
          <w:sz w:val="24"/>
          <w:szCs w:val="24"/>
        </w:rPr>
      </w:pPr>
      <w:r w:rsidRPr="00842FE5">
        <w:rPr>
          <w:rFonts w:ascii="Times New Roman" w:hAnsi="Times New Roman" w:cs="Times New Roman"/>
          <w:b/>
          <w:bCs/>
          <w:i/>
          <w:iCs/>
          <w:color w:val="0D0D0D" w:themeColor="text1" w:themeTint="F2"/>
          <w:sz w:val="24"/>
          <w:szCs w:val="24"/>
        </w:rPr>
        <w:t>Study</w:t>
      </w:r>
      <w:r w:rsidR="006A057B" w:rsidRPr="00842FE5">
        <w:rPr>
          <w:rFonts w:ascii="Times New Roman" w:hAnsi="Times New Roman" w:cs="Times New Roman"/>
          <w:b/>
          <w:bCs/>
          <w:i/>
          <w:iCs/>
          <w:color w:val="0D0D0D" w:themeColor="text1" w:themeTint="F2"/>
          <w:sz w:val="24"/>
          <w:szCs w:val="24"/>
        </w:rPr>
        <w:t xml:space="preserve"> treatment</w:t>
      </w:r>
    </w:p>
    <w:p w14:paraId="68C8510C" w14:textId="7C9AF3BD" w:rsidR="0076281D" w:rsidRPr="00842FE5" w:rsidRDefault="00103522" w:rsidP="003858C4">
      <w:pPr>
        <w:spacing w:line="480" w:lineRule="auto"/>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 xml:space="preserve">Participants received </w:t>
      </w:r>
      <w:r w:rsidR="00F71860" w:rsidRPr="00842FE5">
        <w:rPr>
          <w:rFonts w:ascii="Times New Roman" w:hAnsi="Times New Roman" w:cs="Times New Roman"/>
          <w:color w:val="0D0D0D" w:themeColor="text1" w:themeTint="F2"/>
          <w:sz w:val="24"/>
          <w:szCs w:val="24"/>
        </w:rPr>
        <w:t xml:space="preserve">Gla-300 </w:t>
      </w:r>
      <w:r w:rsidRPr="00842FE5">
        <w:rPr>
          <w:rFonts w:ascii="Times New Roman" w:hAnsi="Times New Roman" w:cs="Times New Roman"/>
          <w:color w:val="0D0D0D" w:themeColor="text1" w:themeTint="F2"/>
          <w:sz w:val="24"/>
          <w:szCs w:val="24"/>
        </w:rPr>
        <w:t xml:space="preserve">once daily </w:t>
      </w:r>
      <w:r w:rsidR="00F71860" w:rsidRPr="00842FE5">
        <w:rPr>
          <w:rFonts w:ascii="Times New Roman" w:hAnsi="Times New Roman" w:cs="Times New Roman"/>
          <w:color w:val="0D0D0D" w:themeColor="text1" w:themeTint="F2"/>
          <w:sz w:val="24"/>
          <w:szCs w:val="24"/>
        </w:rPr>
        <w:t>self</w:t>
      </w:r>
      <w:r w:rsidR="005176ED" w:rsidRPr="00842FE5">
        <w:rPr>
          <w:rFonts w:ascii="Times New Roman" w:hAnsi="Times New Roman" w:cs="Times New Roman"/>
          <w:color w:val="0D0D0D" w:themeColor="text1" w:themeTint="F2"/>
          <w:sz w:val="24"/>
          <w:szCs w:val="24"/>
        </w:rPr>
        <w:t>-</w:t>
      </w:r>
      <w:r w:rsidR="00F71860" w:rsidRPr="00842FE5">
        <w:rPr>
          <w:rFonts w:ascii="Times New Roman" w:hAnsi="Times New Roman" w:cs="Times New Roman"/>
          <w:color w:val="0D0D0D" w:themeColor="text1" w:themeTint="F2"/>
          <w:sz w:val="24"/>
          <w:szCs w:val="24"/>
        </w:rPr>
        <w:t xml:space="preserve">administered </w:t>
      </w:r>
      <w:r w:rsidR="005176ED" w:rsidRPr="00842FE5">
        <w:rPr>
          <w:rFonts w:ascii="Times New Roman" w:hAnsi="Times New Roman" w:cs="Times New Roman"/>
          <w:color w:val="0D0D0D" w:themeColor="text1" w:themeTint="F2"/>
          <w:sz w:val="24"/>
          <w:szCs w:val="24"/>
        </w:rPr>
        <w:t xml:space="preserve">subcutaneously </w:t>
      </w:r>
      <w:r w:rsidR="00EF3F8B" w:rsidRPr="00842FE5">
        <w:rPr>
          <w:rFonts w:ascii="Times New Roman" w:hAnsi="Times New Roman" w:cs="Times New Roman"/>
          <w:color w:val="0D0D0D" w:themeColor="text1" w:themeTint="F2"/>
          <w:sz w:val="24"/>
          <w:szCs w:val="24"/>
        </w:rPr>
        <w:t>at any time of day (</w:t>
      </w:r>
      <w:r w:rsidR="00F51C4E" w:rsidRPr="00842FE5">
        <w:rPr>
          <w:rFonts w:ascii="Times New Roman" w:hAnsi="Times New Roman" w:cs="Times New Roman"/>
          <w:color w:val="0D0D0D" w:themeColor="text1" w:themeTint="F2"/>
          <w:sz w:val="24"/>
          <w:szCs w:val="24"/>
        </w:rPr>
        <w:t xml:space="preserve">the timing of injection was established at the discretion of the patient/investigator </w:t>
      </w:r>
      <w:r w:rsidR="008B3CD8" w:rsidRPr="00842FE5">
        <w:rPr>
          <w:rFonts w:ascii="Times New Roman" w:hAnsi="Times New Roman" w:cs="Times New Roman"/>
          <w:color w:val="0D0D0D" w:themeColor="text1" w:themeTint="F2"/>
          <w:sz w:val="24"/>
          <w:szCs w:val="24"/>
        </w:rPr>
        <w:t xml:space="preserve">at baseline and maintained throughout the study). </w:t>
      </w:r>
      <w:r w:rsidR="00E35895" w:rsidRPr="00842FE5">
        <w:rPr>
          <w:rFonts w:ascii="Times New Roman" w:hAnsi="Times New Roman" w:cs="Times New Roman"/>
          <w:color w:val="0D0D0D" w:themeColor="text1" w:themeTint="F2"/>
          <w:sz w:val="24"/>
          <w:szCs w:val="24"/>
        </w:rPr>
        <w:t>The pa</w:t>
      </w:r>
      <w:r w:rsidR="00B62162" w:rsidRPr="00842FE5">
        <w:rPr>
          <w:rFonts w:ascii="Times New Roman" w:hAnsi="Times New Roman" w:cs="Times New Roman"/>
          <w:color w:val="0D0D0D" w:themeColor="text1" w:themeTint="F2"/>
          <w:sz w:val="24"/>
          <w:szCs w:val="24"/>
        </w:rPr>
        <w:t xml:space="preserve">rticipants </w:t>
      </w:r>
      <w:r w:rsidR="00E35895" w:rsidRPr="00842FE5">
        <w:rPr>
          <w:rFonts w:ascii="Times New Roman" w:hAnsi="Times New Roman" w:cs="Times New Roman"/>
          <w:color w:val="0D0D0D" w:themeColor="text1" w:themeTint="F2"/>
          <w:sz w:val="24"/>
          <w:szCs w:val="24"/>
        </w:rPr>
        <w:t xml:space="preserve">were trained </w:t>
      </w:r>
      <w:r w:rsidR="00D0692C" w:rsidRPr="00842FE5">
        <w:rPr>
          <w:rFonts w:ascii="Times New Roman" w:hAnsi="Times New Roman" w:cs="Times New Roman"/>
          <w:color w:val="0D0D0D" w:themeColor="text1" w:themeTint="F2"/>
          <w:sz w:val="24"/>
          <w:szCs w:val="24"/>
        </w:rPr>
        <w:t xml:space="preserve">to </w:t>
      </w:r>
      <w:r w:rsidR="00E35895" w:rsidRPr="00842FE5">
        <w:rPr>
          <w:rFonts w:ascii="Times New Roman" w:hAnsi="Times New Roman" w:cs="Times New Roman"/>
          <w:color w:val="0D0D0D" w:themeColor="text1" w:themeTint="F2"/>
          <w:sz w:val="24"/>
          <w:szCs w:val="24"/>
        </w:rPr>
        <w:t>self-</w:t>
      </w:r>
      <w:r w:rsidR="00644D92" w:rsidRPr="00842FE5">
        <w:rPr>
          <w:rFonts w:ascii="Times New Roman" w:hAnsi="Times New Roman" w:cs="Times New Roman"/>
          <w:color w:val="0D0D0D" w:themeColor="text1" w:themeTint="F2"/>
          <w:sz w:val="24"/>
          <w:szCs w:val="24"/>
        </w:rPr>
        <w:t>admin</w:t>
      </w:r>
      <w:r w:rsidR="00E35895" w:rsidRPr="00842FE5">
        <w:rPr>
          <w:rFonts w:ascii="Times New Roman" w:hAnsi="Times New Roman" w:cs="Times New Roman"/>
          <w:color w:val="0D0D0D" w:themeColor="text1" w:themeTint="F2"/>
          <w:sz w:val="24"/>
          <w:szCs w:val="24"/>
        </w:rPr>
        <w:t>i</w:t>
      </w:r>
      <w:r w:rsidR="00644D92" w:rsidRPr="00842FE5">
        <w:rPr>
          <w:rFonts w:ascii="Times New Roman" w:hAnsi="Times New Roman" w:cs="Times New Roman"/>
          <w:color w:val="0D0D0D" w:themeColor="text1" w:themeTint="F2"/>
          <w:sz w:val="24"/>
          <w:szCs w:val="24"/>
        </w:rPr>
        <w:t xml:space="preserve">ster </w:t>
      </w:r>
      <w:r w:rsidR="004F4310" w:rsidRPr="00842FE5">
        <w:rPr>
          <w:rFonts w:ascii="Times New Roman" w:hAnsi="Times New Roman" w:cs="Times New Roman"/>
          <w:color w:val="0D0D0D" w:themeColor="text1" w:themeTint="F2"/>
          <w:sz w:val="24"/>
          <w:szCs w:val="24"/>
        </w:rPr>
        <w:t>Gla-300 using the SoloSTAR</w:t>
      </w:r>
      <w:r w:rsidR="004F4310" w:rsidRPr="00842FE5">
        <w:rPr>
          <w:rFonts w:ascii="Times New Roman" w:hAnsi="Times New Roman" w:cs="Times New Roman"/>
          <w:color w:val="0D0D0D" w:themeColor="text1" w:themeTint="F2"/>
          <w:sz w:val="24"/>
          <w:szCs w:val="24"/>
          <w:vertAlign w:val="superscript"/>
        </w:rPr>
        <w:t>®</w:t>
      </w:r>
      <w:r w:rsidR="004F4310" w:rsidRPr="00842FE5">
        <w:rPr>
          <w:rFonts w:ascii="Times New Roman" w:hAnsi="Times New Roman" w:cs="Times New Roman"/>
          <w:color w:val="0D0D0D" w:themeColor="text1" w:themeTint="F2"/>
          <w:sz w:val="24"/>
          <w:szCs w:val="24"/>
        </w:rPr>
        <w:t xml:space="preserve"> prefilled pen</w:t>
      </w:r>
      <w:r w:rsidR="004B5F6D" w:rsidRPr="00842FE5">
        <w:rPr>
          <w:rFonts w:ascii="Times New Roman" w:hAnsi="Times New Roman" w:cs="Times New Roman"/>
          <w:color w:val="0D0D0D" w:themeColor="text1" w:themeTint="F2"/>
          <w:sz w:val="24"/>
          <w:szCs w:val="24"/>
        </w:rPr>
        <w:t xml:space="preserve"> a</w:t>
      </w:r>
      <w:r w:rsidR="001048D0" w:rsidRPr="00842FE5">
        <w:rPr>
          <w:rFonts w:ascii="Times New Roman" w:hAnsi="Times New Roman" w:cs="Times New Roman"/>
          <w:color w:val="0D0D0D" w:themeColor="text1" w:themeTint="F2"/>
          <w:sz w:val="24"/>
          <w:szCs w:val="24"/>
        </w:rPr>
        <w:t>s per the local label</w:t>
      </w:r>
      <w:r w:rsidR="000F2B9A" w:rsidRPr="00842FE5">
        <w:rPr>
          <w:rFonts w:ascii="Times New Roman" w:hAnsi="Times New Roman" w:cs="Times New Roman"/>
          <w:color w:val="0D0D0D" w:themeColor="text1" w:themeTint="F2"/>
          <w:sz w:val="24"/>
          <w:szCs w:val="24"/>
        </w:rPr>
        <w:t xml:space="preserve">. </w:t>
      </w:r>
      <w:r w:rsidR="00D87DCA">
        <w:rPr>
          <w:rFonts w:ascii="Times New Roman" w:hAnsi="Times New Roman" w:cs="Times New Roman"/>
          <w:color w:val="0D0D0D" w:themeColor="text1" w:themeTint="F2"/>
          <w:sz w:val="24"/>
          <w:szCs w:val="24"/>
        </w:rPr>
        <w:t>P</w:t>
      </w:r>
      <w:r w:rsidR="00D94754" w:rsidRPr="00842FE5">
        <w:rPr>
          <w:rFonts w:ascii="Times New Roman" w:hAnsi="Times New Roman" w:cs="Times New Roman"/>
          <w:color w:val="0D0D0D" w:themeColor="text1" w:themeTint="F2"/>
          <w:sz w:val="24"/>
          <w:szCs w:val="24"/>
        </w:rPr>
        <w:t xml:space="preserve">er the </w:t>
      </w:r>
      <w:r w:rsidR="00663F59" w:rsidRPr="00842FE5">
        <w:rPr>
          <w:rFonts w:ascii="Times New Roman" w:hAnsi="Times New Roman" w:cs="Times New Roman"/>
          <w:color w:val="0D0D0D" w:themeColor="text1" w:themeTint="F2"/>
          <w:sz w:val="24"/>
          <w:szCs w:val="24"/>
        </w:rPr>
        <w:t xml:space="preserve">dose titration </w:t>
      </w:r>
      <w:r w:rsidR="000B12E9" w:rsidRPr="00842FE5">
        <w:rPr>
          <w:rFonts w:ascii="Times New Roman" w:hAnsi="Times New Roman" w:cs="Times New Roman"/>
          <w:color w:val="0D0D0D" w:themeColor="text1" w:themeTint="F2"/>
          <w:sz w:val="24"/>
          <w:szCs w:val="24"/>
        </w:rPr>
        <w:t>algorithm</w:t>
      </w:r>
      <w:r w:rsidR="002342D2" w:rsidRPr="00842FE5">
        <w:rPr>
          <w:rFonts w:ascii="Times New Roman" w:hAnsi="Times New Roman" w:cs="Times New Roman"/>
          <w:color w:val="0D0D0D" w:themeColor="text1" w:themeTint="F2"/>
          <w:sz w:val="24"/>
          <w:szCs w:val="24"/>
        </w:rPr>
        <w:t xml:space="preserve"> (</w:t>
      </w:r>
      <w:r w:rsidR="002342D2" w:rsidRPr="00842FE5">
        <w:rPr>
          <w:rFonts w:ascii="Times New Roman" w:hAnsi="Times New Roman" w:cs="Times New Roman"/>
          <w:b/>
          <w:bCs/>
          <w:color w:val="0D0D0D" w:themeColor="text1" w:themeTint="F2"/>
          <w:sz w:val="24"/>
          <w:szCs w:val="24"/>
        </w:rPr>
        <w:t>Table 1</w:t>
      </w:r>
      <w:r w:rsidR="002342D2" w:rsidRPr="00842FE5">
        <w:rPr>
          <w:rFonts w:ascii="Times New Roman" w:hAnsi="Times New Roman" w:cs="Times New Roman"/>
          <w:color w:val="0D0D0D" w:themeColor="text1" w:themeTint="F2"/>
          <w:sz w:val="24"/>
          <w:szCs w:val="24"/>
        </w:rPr>
        <w:t>)</w:t>
      </w:r>
      <w:r w:rsidR="00962162" w:rsidRPr="00842FE5">
        <w:rPr>
          <w:rFonts w:ascii="Times New Roman" w:hAnsi="Times New Roman" w:cs="Times New Roman"/>
          <w:color w:val="0D0D0D" w:themeColor="text1" w:themeTint="F2"/>
          <w:sz w:val="24"/>
          <w:szCs w:val="24"/>
        </w:rPr>
        <w:t>,</w:t>
      </w:r>
      <w:r w:rsidR="00962162" w:rsidRPr="00842FE5" w:rsidDel="00962162">
        <w:rPr>
          <w:rFonts w:ascii="Times New Roman" w:hAnsi="Times New Roman" w:cs="Times New Roman"/>
          <w:color w:val="0D0D0D" w:themeColor="text1" w:themeTint="F2"/>
          <w:sz w:val="24"/>
          <w:szCs w:val="24"/>
        </w:rPr>
        <w:t xml:space="preserve"> </w:t>
      </w:r>
      <w:r w:rsidR="005A544C" w:rsidRPr="00842FE5">
        <w:rPr>
          <w:rFonts w:ascii="Times New Roman" w:hAnsi="Times New Roman" w:cs="Times New Roman"/>
          <w:color w:val="0D0D0D" w:themeColor="text1" w:themeTint="F2"/>
          <w:sz w:val="24"/>
          <w:szCs w:val="24"/>
        </w:rPr>
        <w:t>the</w:t>
      </w:r>
      <w:r w:rsidR="000637A2" w:rsidRPr="00842FE5">
        <w:rPr>
          <w:rFonts w:ascii="Times New Roman" w:hAnsi="Times New Roman" w:cs="Times New Roman"/>
          <w:color w:val="0D0D0D" w:themeColor="text1" w:themeTint="F2"/>
          <w:sz w:val="24"/>
          <w:szCs w:val="24"/>
        </w:rPr>
        <w:t xml:space="preserve"> insulin dose was titrated </w:t>
      </w:r>
      <w:r w:rsidR="000C0FD3" w:rsidRPr="00842FE5">
        <w:rPr>
          <w:rFonts w:ascii="Times New Roman" w:hAnsi="Times New Roman" w:cs="Times New Roman"/>
          <w:color w:val="0D0D0D" w:themeColor="text1" w:themeTint="F2"/>
          <w:sz w:val="24"/>
          <w:szCs w:val="24"/>
        </w:rPr>
        <w:t>at least weekly and preferably not more than every 3</w:t>
      </w:r>
      <w:r w:rsidR="008837FE" w:rsidRPr="00842FE5">
        <w:rPr>
          <w:rFonts w:ascii="Times New Roman" w:hAnsi="Times New Roman" w:cs="Times New Roman"/>
          <w:color w:val="0D0D0D" w:themeColor="text1" w:themeTint="F2"/>
          <w:sz w:val="24"/>
          <w:szCs w:val="24"/>
        </w:rPr>
        <w:t xml:space="preserve"> </w:t>
      </w:r>
      <w:r w:rsidR="00EB08B0" w:rsidRPr="00842FE5">
        <w:rPr>
          <w:rFonts w:ascii="Times New Roman" w:hAnsi="Times New Roman" w:cs="Times New Roman"/>
          <w:color w:val="0D0D0D" w:themeColor="text1" w:themeTint="F2"/>
          <w:sz w:val="24"/>
          <w:szCs w:val="24"/>
        </w:rPr>
        <w:t xml:space="preserve">to </w:t>
      </w:r>
      <w:r w:rsidR="000C0FD3" w:rsidRPr="00842FE5">
        <w:rPr>
          <w:rFonts w:ascii="Times New Roman" w:hAnsi="Times New Roman" w:cs="Times New Roman"/>
          <w:color w:val="0D0D0D" w:themeColor="text1" w:themeTint="F2"/>
          <w:sz w:val="24"/>
          <w:szCs w:val="24"/>
        </w:rPr>
        <w:t xml:space="preserve">4 days unless required for safety, based on </w:t>
      </w:r>
      <w:r w:rsidR="005164E0" w:rsidRPr="00842FE5">
        <w:rPr>
          <w:rFonts w:ascii="Times New Roman" w:hAnsi="Times New Roman" w:cs="Times New Roman"/>
          <w:color w:val="0D0D0D" w:themeColor="text1" w:themeTint="F2"/>
          <w:sz w:val="24"/>
          <w:szCs w:val="24"/>
        </w:rPr>
        <w:t xml:space="preserve">the median </w:t>
      </w:r>
      <w:r w:rsidR="00577885" w:rsidRPr="00842FE5">
        <w:rPr>
          <w:rFonts w:ascii="Times New Roman" w:hAnsi="Times New Roman" w:cs="Times New Roman"/>
          <w:color w:val="0D0D0D" w:themeColor="text1" w:themeTint="F2"/>
          <w:sz w:val="24"/>
          <w:szCs w:val="24"/>
        </w:rPr>
        <w:t xml:space="preserve">value determined from the </w:t>
      </w:r>
      <w:r w:rsidR="00CE4842" w:rsidRPr="00842FE5">
        <w:rPr>
          <w:rFonts w:ascii="Times New Roman" w:hAnsi="Times New Roman" w:cs="Times New Roman"/>
          <w:color w:val="0D0D0D" w:themeColor="text1" w:themeTint="F2"/>
          <w:sz w:val="24"/>
          <w:szCs w:val="24"/>
        </w:rPr>
        <w:t xml:space="preserve">last </w:t>
      </w:r>
      <w:r w:rsidR="00EB08B0" w:rsidRPr="00842FE5">
        <w:rPr>
          <w:rFonts w:ascii="Times New Roman" w:hAnsi="Times New Roman" w:cs="Times New Roman"/>
          <w:color w:val="0D0D0D" w:themeColor="text1" w:themeTint="F2"/>
          <w:sz w:val="24"/>
          <w:szCs w:val="24"/>
        </w:rPr>
        <w:t xml:space="preserve">three </w:t>
      </w:r>
      <w:r w:rsidR="00C8501B" w:rsidRPr="00842FE5">
        <w:rPr>
          <w:rFonts w:ascii="Times New Roman" w:hAnsi="Times New Roman" w:cs="Times New Roman"/>
          <w:color w:val="0D0D0D" w:themeColor="text1" w:themeTint="F2"/>
          <w:sz w:val="24"/>
          <w:szCs w:val="24"/>
        </w:rPr>
        <w:t>consecutives</w:t>
      </w:r>
      <w:r w:rsidR="000C0FD3" w:rsidRPr="00842FE5">
        <w:rPr>
          <w:rFonts w:ascii="Times New Roman" w:hAnsi="Times New Roman" w:cs="Times New Roman"/>
          <w:color w:val="0D0D0D" w:themeColor="text1" w:themeTint="F2"/>
          <w:sz w:val="24"/>
          <w:szCs w:val="24"/>
        </w:rPr>
        <w:t xml:space="preserve"> fasting SMPG values</w:t>
      </w:r>
      <w:r w:rsidR="008111D2" w:rsidRPr="00842FE5">
        <w:rPr>
          <w:rFonts w:ascii="Times New Roman" w:hAnsi="Times New Roman" w:cs="Times New Roman"/>
          <w:color w:val="0D0D0D" w:themeColor="text1" w:themeTint="F2"/>
          <w:sz w:val="24"/>
          <w:szCs w:val="24"/>
        </w:rPr>
        <w:t xml:space="preserve"> </w:t>
      </w:r>
      <w:r w:rsidR="00890177" w:rsidRPr="00842FE5">
        <w:rPr>
          <w:rFonts w:ascii="Times New Roman" w:hAnsi="Times New Roman" w:cs="Times New Roman"/>
          <w:color w:val="0D0D0D" w:themeColor="text1" w:themeTint="F2"/>
          <w:sz w:val="24"/>
          <w:szCs w:val="24"/>
        </w:rPr>
        <w:t xml:space="preserve">and </w:t>
      </w:r>
      <w:r w:rsidR="002F6317" w:rsidRPr="00842FE5">
        <w:rPr>
          <w:rFonts w:ascii="Times New Roman" w:hAnsi="Times New Roman" w:cs="Times New Roman"/>
          <w:color w:val="0D0D0D" w:themeColor="text1" w:themeTint="F2"/>
          <w:sz w:val="24"/>
          <w:szCs w:val="24"/>
        </w:rPr>
        <w:t xml:space="preserve">with the aim </w:t>
      </w:r>
      <w:r w:rsidR="00890177" w:rsidRPr="00842FE5">
        <w:rPr>
          <w:rFonts w:ascii="Times New Roman" w:hAnsi="Times New Roman" w:cs="Times New Roman"/>
          <w:color w:val="0D0D0D" w:themeColor="text1" w:themeTint="F2"/>
          <w:sz w:val="24"/>
          <w:szCs w:val="24"/>
        </w:rPr>
        <w:t xml:space="preserve">to attain </w:t>
      </w:r>
      <w:r w:rsidR="00F33300" w:rsidRPr="00842FE5">
        <w:rPr>
          <w:rFonts w:ascii="Times New Roman" w:hAnsi="Times New Roman" w:cs="Times New Roman"/>
          <w:color w:val="0D0D0D" w:themeColor="text1" w:themeTint="F2"/>
          <w:sz w:val="24"/>
          <w:szCs w:val="24"/>
        </w:rPr>
        <w:t>the American Diabetes Association/European Association for the Study of Diabetes</w:t>
      </w:r>
      <w:r w:rsidR="00EF0FA2" w:rsidRPr="00842FE5">
        <w:rPr>
          <w:rFonts w:ascii="Times New Roman" w:hAnsi="Times New Roman" w:cs="Times New Roman"/>
          <w:color w:val="0D0D0D" w:themeColor="text1" w:themeTint="F2"/>
          <w:sz w:val="24"/>
          <w:szCs w:val="24"/>
        </w:rPr>
        <w:t xml:space="preserve"> recommended HbA</w:t>
      </w:r>
      <w:r w:rsidR="00EF0FA2" w:rsidRPr="00842FE5">
        <w:rPr>
          <w:rFonts w:ascii="Times New Roman" w:hAnsi="Times New Roman" w:cs="Times New Roman"/>
          <w:color w:val="0D0D0D" w:themeColor="text1" w:themeTint="F2"/>
          <w:sz w:val="24"/>
          <w:szCs w:val="24"/>
          <w:vertAlign w:val="subscript"/>
        </w:rPr>
        <w:t>1c</w:t>
      </w:r>
      <w:r w:rsidR="00EF0FA2" w:rsidRPr="00842FE5">
        <w:rPr>
          <w:rFonts w:ascii="Times New Roman" w:hAnsi="Times New Roman" w:cs="Times New Roman"/>
          <w:color w:val="0D0D0D" w:themeColor="text1" w:themeTint="F2"/>
          <w:sz w:val="24"/>
          <w:szCs w:val="24"/>
        </w:rPr>
        <w:t xml:space="preserve"> target</w:t>
      </w:r>
      <w:r w:rsidR="00F33300" w:rsidRPr="00842FE5">
        <w:rPr>
          <w:rFonts w:ascii="Times New Roman" w:hAnsi="Times New Roman" w:cs="Times New Roman"/>
          <w:color w:val="0D0D0D" w:themeColor="text1" w:themeTint="F2"/>
          <w:sz w:val="24"/>
          <w:szCs w:val="24"/>
        </w:rPr>
        <w:t xml:space="preserve"> [18]</w:t>
      </w:r>
      <w:r w:rsidR="009B0A3A" w:rsidRPr="00842FE5">
        <w:rPr>
          <w:rFonts w:ascii="Times New Roman" w:hAnsi="Times New Roman" w:cs="Times New Roman"/>
          <w:color w:val="0D0D0D" w:themeColor="text1" w:themeTint="F2"/>
          <w:sz w:val="24"/>
          <w:szCs w:val="24"/>
        </w:rPr>
        <w:t>.</w:t>
      </w:r>
      <w:r w:rsidR="002877C5" w:rsidRPr="00842FE5">
        <w:rPr>
          <w:rFonts w:ascii="Times New Roman" w:hAnsi="Times New Roman" w:cs="Times New Roman"/>
          <w:color w:val="0D0D0D" w:themeColor="text1" w:themeTint="F2"/>
          <w:sz w:val="24"/>
          <w:szCs w:val="24"/>
        </w:rPr>
        <w:t xml:space="preserve"> </w:t>
      </w:r>
    </w:p>
    <w:p w14:paraId="14C4504E" w14:textId="3C7489A2" w:rsidR="000C0FD3" w:rsidRPr="00842FE5" w:rsidRDefault="0091493C" w:rsidP="009408F1">
      <w:pPr>
        <w:spacing w:line="480" w:lineRule="auto"/>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 xml:space="preserve">At physician’s discretion, participants were educated regarding the titration process and were allowed to adjust their dose in between the scheduled visits without prior consultation </w:t>
      </w:r>
      <w:r w:rsidR="001F5E2D" w:rsidRPr="00842FE5">
        <w:rPr>
          <w:rFonts w:ascii="Times New Roman" w:hAnsi="Times New Roman" w:cs="Times New Roman"/>
          <w:color w:val="0D0D0D" w:themeColor="text1" w:themeTint="F2"/>
          <w:sz w:val="24"/>
          <w:szCs w:val="24"/>
        </w:rPr>
        <w:t xml:space="preserve">with </w:t>
      </w:r>
      <w:r w:rsidRPr="00842FE5">
        <w:rPr>
          <w:rFonts w:ascii="Times New Roman" w:hAnsi="Times New Roman" w:cs="Times New Roman"/>
          <w:color w:val="0D0D0D" w:themeColor="text1" w:themeTint="F2"/>
          <w:sz w:val="24"/>
          <w:szCs w:val="24"/>
        </w:rPr>
        <w:t>the site personnel.</w:t>
      </w:r>
      <w:r w:rsidR="009408F1" w:rsidRPr="00842FE5">
        <w:rPr>
          <w:rFonts w:ascii="Times New Roman" w:hAnsi="Times New Roman" w:cs="Times New Roman"/>
          <w:color w:val="0D0D0D" w:themeColor="text1" w:themeTint="F2"/>
          <w:sz w:val="24"/>
          <w:szCs w:val="24"/>
        </w:rPr>
        <w:t xml:space="preserve"> </w:t>
      </w:r>
      <w:r w:rsidR="00183383" w:rsidRPr="00842FE5">
        <w:rPr>
          <w:rFonts w:ascii="Times New Roman" w:hAnsi="Times New Roman" w:cs="Times New Roman"/>
          <w:color w:val="0D0D0D" w:themeColor="text1" w:themeTint="F2"/>
          <w:sz w:val="24"/>
          <w:szCs w:val="24"/>
        </w:rPr>
        <w:t>After Week 12, r</w:t>
      </w:r>
      <w:r w:rsidR="009408F1" w:rsidRPr="00842FE5">
        <w:rPr>
          <w:rFonts w:ascii="Times New Roman" w:hAnsi="Times New Roman" w:cs="Times New Roman"/>
          <w:color w:val="0D0D0D" w:themeColor="text1" w:themeTint="F2"/>
          <w:sz w:val="24"/>
          <w:szCs w:val="24"/>
        </w:rPr>
        <w:t xml:space="preserve">escue </w:t>
      </w:r>
      <w:r w:rsidR="00183383" w:rsidRPr="00842FE5">
        <w:rPr>
          <w:rFonts w:ascii="Times New Roman" w:hAnsi="Times New Roman" w:cs="Times New Roman"/>
          <w:color w:val="0D0D0D" w:themeColor="text1" w:themeTint="F2"/>
          <w:sz w:val="24"/>
          <w:szCs w:val="24"/>
        </w:rPr>
        <w:t>anti</w:t>
      </w:r>
      <w:r w:rsidR="0045688A" w:rsidRPr="00842FE5">
        <w:rPr>
          <w:rFonts w:ascii="Times New Roman" w:hAnsi="Times New Roman" w:cs="Times New Roman"/>
          <w:color w:val="0D0D0D" w:themeColor="text1" w:themeTint="F2"/>
          <w:sz w:val="24"/>
          <w:szCs w:val="24"/>
        </w:rPr>
        <w:t xml:space="preserve">diabetic </w:t>
      </w:r>
      <w:r w:rsidR="00D80B96" w:rsidRPr="00842FE5">
        <w:rPr>
          <w:rFonts w:ascii="Times New Roman" w:hAnsi="Times New Roman" w:cs="Times New Roman"/>
          <w:color w:val="0D0D0D" w:themeColor="text1" w:themeTint="F2"/>
          <w:sz w:val="24"/>
          <w:szCs w:val="24"/>
        </w:rPr>
        <w:t xml:space="preserve">therapy </w:t>
      </w:r>
      <w:r w:rsidR="004D6349" w:rsidRPr="00842FE5">
        <w:rPr>
          <w:rFonts w:ascii="Times New Roman" w:hAnsi="Times New Roman" w:cs="Times New Roman"/>
          <w:color w:val="0D0D0D" w:themeColor="text1" w:themeTint="F2"/>
          <w:sz w:val="24"/>
          <w:szCs w:val="24"/>
        </w:rPr>
        <w:t xml:space="preserve">(including </w:t>
      </w:r>
      <w:r w:rsidR="002A33B0" w:rsidRPr="00842FE5">
        <w:rPr>
          <w:rFonts w:ascii="Times New Roman" w:hAnsi="Times New Roman" w:cs="Times New Roman"/>
          <w:color w:val="0D0D0D" w:themeColor="text1" w:themeTint="F2"/>
          <w:sz w:val="24"/>
          <w:szCs w:val="24"/>
        </w:rPr>
        <w:t xml:space="preserve">a </w:t>
      </w:r>
      <w:r w:rsidR="004D6349" w:rsidRPr="00842FE5">
        <w:rPr>
          <w:rFonts w:ascii="Times New Roman" w:hAnsi="Times New Roman" w:cs="Times New Roman"/>
          <w:color w:val="0D0D0D" w:themeColor="text1" w:themeTint="F2"/>
          <w:sz w:val="24"/>
          <w:szCs w:val="24"/>
        </w:rPr>
        <w:t xml:space="preserve">new </w:t>
      </w:r>
      <w:r w:rsidR="002A33B0" w:rsidRPr="00842FE5">
        <w:rPr>
          <w:rFonts w:ascii="Times New Roman" w:hAnsi="Times New Roman" w:cs="Times New Roman"/>
          <w:color w:val="0D0D0D" w:themeColor="text1" w:themeTint="F2"/>
          <w:sz w:val="24"/>
          <w:szCs w:val="24"/>
        </w:rPr>
        <w:t xml:space="preserve">drug or increasing the dose </w:t>
      </w:r>
      <w:r w:rsidR="004D1B72" w:rsidRPr="00842FE5">
        <w:rPr>
          <w:rFonts w:ascii="Times New Roman" w:hAnsi="Times New Roman" w:cs="Times New Roman"/>
          <w:color w:val="0D0D0D" w:themeColor="text1" w:themeTint="F2"/>
          <w:sz w:val="24"/>
          <w:szCs w:val="24"/>
        </w:rPr>
        <w:t xml:space="preserve">of </w:t>
      </w:r>
      <w:r w:rsidR="007037B1" w:rsidRPr="00842FE5">
        <w:rPr>
          <w:rFonts w:ascii="Times New Roman" w:hAnsi="Times New Roman" w:cs="Times New Roman"/>
          <w:color w:val="0D0D0D" w:themeColor="text1" w:themeTint="F2"/>
          <w:sz w:val="24"/>
          <w:szCs w:val="24"/>
        </w:rPr>
        <w:t xml:space="preserve">a </w:t>
      </w:r>
      <w:r w:rsidR="00DB53F8" w:rsidRPr="00842FE5">
        <w:rPr>
          <w:rFonts w:ascii="Times New Roman" w:hAnsi="Times New Roman" w:cs="Times New Roman"/>
          <w:color w:val="0D0D0D" w:themeColor="text1" w:themeTint="F2"/>
          <w:sz w:val="24"/>
          <w:szCs w:val="24"/>
        </w:rPr>
        <w:t>non</w:t>
      </w:r>
      <w:r w:rsidR="007037B1" w:rsidRPr="00842FE5">
        <w:rPr>
          <w:rFonts w:ascii="Times New Roman" w:hAnsi="Times New Roman" w:cs="Times New Roman"/>
          <w:color w:val="0D0D0D" w:themeColor="text1" w:themeTint="F2"/>
          <w:sz w:val="24"/>
          <w:szCs w:val="24"/>
        </w:rPr>
        <w:t>-study drug that was part of the participant’s current regimen</w:t>
      </w:r>
      <w:r w:rsidR="000B6E43" w:rsidRPr="00842FE5">
        <w:rPr>
          <w:rFonts w:ascii="Times New Roman" w:hAnsi="Times New Roman" w:cs="Times New Roman"/>
          <w:color w:val="0D0D0D" w:themeColor="text1" w:themeTint="F2"/>
          <w:sz w:val="24"/>
          <w:szCs w:val="24"/>
        </w:rPr>
        <w:t xml:space="preserve"> at the time of the study</w:t>
      </w:r>
      <w:r w:rsidR="00B35CFC" w:rsidRPr="00842FE5">
        <w:rPr>
          <w:rFonts w:ascii="Times New Roman" w:hAnsi="Times New Roman" w:cs="Times New Roman"/>
          <w:color w:val="0D0D0D" w:themeColor="text1" w:themeTint="F2"/>
          <w:sz w:val="24"/>
          <w:szCs w:val="24"/>
        </w:rPr>
        <w:t xml:space="preserve">) </w:t>
      </w:r>
      <w:r w:rsidR="00624EEB" w:rsidRPr="00842FE5">
        <w:rPr>
          <w:rFonts w:ascii="Times New Roman" w:hAnsi="Times New Roman" w:cs="Times New Roman"/>
          <w:color w:val="0D0D0D" w:themeColor="text1" w:themeTint="F2"/>
          <w:sz w:val="24"/>
          <w:szCs w:val="24"/>
        </w:rPr>
        <w:t>was</w:t>
      </w:r>
      <w:r w:rsidR="0045688A" w:rsidRPr="00842FE5">
        <w:rPr>
          <w:rFonts w:ascii="Times New Roman" w:hAnsi="Times New Roman" w:cs="Times New Roman"/>
          <w:color w:val="0D0D0D" w:themeColor="text1" w:themeTint="F2"/>
          <w:sz w:val="24"/>
          <w:szCs w:val="24"/>
        </w:rPr>
        <w:t xml:space="preserve"> </w:t>
      </w:r>
      <w:r w:rsidR="009408F1" w:rsidRPr="00842FE5">
        <w:rPr>
          <w:rFonts w:ascii="Times New Roman" w:hAnsi="Times New Roman" w:cs="Times New Roman"/>
          <w:color w:val="0D0D0D" w:themeColor="text1" w:themeTint="F2"/>
          <w:sz w:val="24"/>
          <w:szCs w:val="24"/>
        </w:rPr>
        <w:t xml:space="preserve">used at the </w:t>
      </w:r>
      <w:r w:rsidR="00D80B96" w:rsidRPr="00842FE5">
        <w:rPr>
          <w:rFonts w:ascii="Times New Roman" w:hAnsi="Times New Roman" w:cs="Times New Roman"/>
          <w:color w:val="0D0D0D" w:themeColor="text1" w:themeTint="F2"/>
          <w:sz w:val="24"/>
          <w:szCs w:val="24"/>
        </w:rPr>
        <w:t>physician</w:t>
      </w:r>
      <w:r w:rsidR="00C0044E" w:rsidRPr="00842FE5">
        <w:rPr>
          <w:rFonts w:ascii="Times New Roman" w:hAnsi="Times New Roman" w:cs="Times New Roman"/>
          <w:color w:val="0D0D0D" w:themeColor="text1" w:themeTint="F2"/>
          <w:sz w:val="24"/>
          <w:szCs w:val="24"/>
        </w:rPr>
        <w:t>’s</w:t>
      </w:r>
      <w:r w:rsidR="00D80B96" w:rsidRPr="00842FE5">
        <w:rPr>
          <w:rFonts w:ascii="Times New Roman" w:hAnsi="Times New Roman" w:cs="Times New Roman"/>
          <w:color w:val="0D0D0D" w:themeColor="text1" w:themeTint="F2"/>
          <w:sz w:val="24"/>
          <w:szCs w:val="24"/>
        </w:rPr>
        <w:t xml:space="preserve"> </w:t>
      </w:r>
      <w:r w:rsidR="009408F1" w:rsidRPr="00842FE5">
        <w:rPr>
          <w:rFonts w:ascii="Times New Roman" w:hAnsi="Times New Roman" w:cs="Times New Roman"/>
          <w:color w:val="0D0D0D" w:themeColor="text1" w:themeTint="F2"/>
          <w:sz w:val="24"/>
          <w:szCs w:val="24"/>
        </w:rPr>
        <w:t>discretion</w:t>
      </w:r>
      <w:r w:rsidR="00D80B96" w:rsidRPr="00842FE5">
        <w:rPr>
          <w:rFonts w:ascii="Times New Roman" w:hAnsi="Times New Roman" w:cs="Times New Roman"/>
          <w:color w:val="0D0D0D" w:themeColor="text1" w:themeTint="F2"/>
          <w:sz w:val="24"/>
          <w:szCs w:val="24"/>
        </w:rPr>
        <w:t xml:space="preserve"> </w:t>
      </w:r>
      <w:r w:rsidR="00FA6549" w:rsidRPr="00842FE5">
        <w:rPr>
          <w:rFonts w:ascii="Times New Roman" w:hAnsi="Times New Roman" w:cs="Times New Roman"/>
          <w:color w:val="0D0D0D" w:themeColor="text1" w:themeTint="F2"/>
          <w:sz w:val="24"/>
          <w:szCs w:val="24"/>
        </w:rPr>
        <w:t xml:space="preserve">and </w:t>
      </w:r>
      <w:r w:rsidR="005C5456" w:rsidRPr="00842FE5">
        <w:rPr>
          <w:rFonts w:ascii="Times New Roman" w:hAnsi="Times New Roman" w:cs="Times New Roman"/>
          <w:color w:val="0D0D0D" w:themeColor="text1" w:themeTint="F2"/>
          <w:sz w:val="24"/>
          <w:szCs w:val="24"/>
        </w:rPr>
        <w:t xml:space="preserve">per local labelling </w:t>
      </w:r>
      <w:r w:rsidR="009408F1" w:rsidRPr="00842FE5">
        <w:rPr>
          <w:rFonts w:ascii="Times New Roman" w:hAnsi="Times New Roman" w:cs="Times New Roman"/>
          <w:color w:val="0D0D0D" w:themeColor="text1" w:themeTint="F2"/>
          <w:sz w:val="24"/>
          <w:szCs w:val="24"/>
        </w:rPr>
        <w:t xml:space="preserve">for insufficient glucose control </w:t>
      </w:r>
      <w:r w:rsidR="0075368F" w:rsidRPr="00842FE5">
        <w:rPr>
          <w:rFonts w:ascii="Times New Roman" w:hAnsi="Times New Roman" w:cs="Times New Roman"/>
          <w:color w:val="0D0D0D" w:themeColor="text1" w:themeTint="F2"/>
          <w:sz w:val="24"/>
          <w:szCs w:val="24"/>
        </w:rPr>
        <w:t>(</w:t>
      </w:r>
      <w:r w:rsidR="000C13F7" w:rsidRPr="00842FE5">
        <w:rPr>
          <w:rFonts w:ascii="Times New Roman" w:hAnsi="Times New Roman" w:cs="Times New Roman"/>
          <w:color w:val="0D0D0D" w:themeColor="text1" w:themeTint="F2"/>
          <w:sz w:val="24"/>
          <w:szCs w:val="24"/>
        </w:rPr>
        <w:t>fasting plasma glucose [</w:t>
      </w:r>
      <w:r w:rsidR="009408F1" w:rsidRPr="00842FE5">
        <w:rPr>
          <w:rFonts w:ascii="Times New Roman" w:hAnsi="Times New Roman" w:cs="Times New Roman"/>
          <w:color w:val="0D0D0D" w:themeColor="text1" w:themeTint="F2"/>
          <w:sz w:val="24"/>
          <w:szCs w:val="24"/>
        </w:rPr>
        <w:t>FPG</w:t>
      </w:r>
      <w:r w:rsidR="000C13F7" w:rsidRPr="00842FE5">
        <w:rPr>
          <w:rFonts w:ascii="Times New Roman" w:hAnsi="Times New Roman" w:cs="Times New Roman"/>
          <w:color w:val="0D0D0D" w:themeColor="text1" w:themeTint="F2"/>
          <w:sz w:val="24"/>
          <w:szCs w:val="24"/>
        </w:rPr>
        <w:t>]</w:t>
      </w:r>
      <w:r w:rsidR="00B35E21" w:rsidRPr="00842FE5">
        <w:rPr>
          <w:rFonts w:ascii="Times New Roman" w:hAnsi="Times New Roman" w:cs="Times New Roman"/>
          <w:color w:val="0D0D0D" w:themeColor="text1" w:themeTint="F2"/>
          <w:sz w:val="24"/>
          <w:szCs w:val="24"/>
        </w:rPr>
        <w:t xml:space="preserve"> </w:t>
      </w:r>
      <w:r w:rsidR="0075368F" w:rsidRPr="00842FE5">
        <w:rPr>
          <w:rFonts w:ascii="Times New Roman" w:hAnsi="Times New Roman" w:cs="Times New Roman"/>
          <w:color w:val="0D0D0D" w:themeColor="text1" w:themeTint="F2"/>
          <w:sz w:val="24"/>
          <w:szCs w:val="24"/>
        </w:rPr>
        <w:t>&gt;</w:t>
      </w:r>
      <w:r w:rsidR="00B35E21" w:rsidRPr="00842FE5">
        <w:rPr>
          <w:rFonts w:ascii="Times New Roman" w:hAnsi="Times New Roman" w:cs="Times New Roman"/>
          <w:color w:val="0D0D0D" w:themeColor="text1" w:themeTint="F2"/>
          <w:sz w:val="24"/>
          <w:szCs w:val="24"/>
        </w:rPr>
        <w:t xml:space="preserve">200 mg/dL </w:t>
      </w:r>
      <w:r w:rsidR="0075368F" w:rsidRPr="00842FE5">
        <w:rPr>
          <w:rFonts w:ascii="Times New Roman" w:hAnsi="Times New Roman" w:cs="Times New Roman"/>
          <w:color w:val="0D0D0D" w:themeColor="text1" w:themeTint="F2"/>
          <w:sz w:val="24"/>
          <w:szCs w:val="24"/>
        </w:rPr>
        <w:t>[</w:t>
      </w:r>
      <w:r w:rsidR="00B35E21" w:rsidRPr="00842FE5">
        <w:rPr>
          <w:rFonts w:ascii="Times New Roman" w:hAnsi="Times New Roman" w:cs="Times New Roman"/>
          <w:color w:val="0D0D0D" w:themeColor="text1" w:themeTint="F2"/>
          <w:sz w:val="24"/>
          <w:szCs w:val="24"/>
        </w:rPr>
        <w:t>11 mmol/L</w:t>
      </w:r>
      <w:r w:rsidR="0075368F" w:rsidRPr="00842FE5">
        <w:rPr>
          <w:rFonts w:ascii="Times New Roman" w:hAnsi="Times New Roman" w:cs="Times New Roman"/>
          <w:color w:val="0D0D0D" w:themeColor="text1" w:themeTint="F2"/>
          <w:sz w:val="24"/>
          <w:szCs w:val="24"/>
        </w:rPr>
        <w:t>]</w:t>
      </w:r>
      <w:r w:rsidR="00B35E21" w:rsidRPr="00842FE5">
        <w:rPr>
          <w:rFonts w:ascii="Times New Roman" w:hAnsi="Times New Roman" w:cs="Times New Roman"/>
          <w:color w:val="0D0D0D" w:themeColor="text1" w:themeTint="F2"/>
          <w:sz w:val="24"/>
          <w:szCs w:val="24"/>
        </w:rPr>
        <w:t xml:space="preserve"> </w:t>
      </w:r>
      <w:r w:rsidR="009408F1" w:rsidRPr="00842FE5">
        <w:rPr>
          <w:rFonts w:ascii="Times New Roman" w:hAnsi="Times New Roman" w:cs="Times New Roman"/>
          <w:color w:val="0D0D0D" w:themeColor="text1" w:themeTint="F2"/>
          <w:sz w:val="24"/>
          <w:szCs w:val="24"/>
        </w:rPr>
        <w:t>and HbA</w:t>
      </w:r>
      <w:r w:rsidR="009408F1" w:rsidRPr="00842FE5">
        <w:rPr>
          <w:rFonts w:ascii="Times New Roman" w:hAnsi="Times New Roman" w:cs="Times New Roman"/>
          <w:color w:val="0D0D0D" w:themeColor="text1" w:themeTint="F2"/>
          <w:sz w:val="24"/>
          <w:szCs w:val="24"/>
          <w:vertAlign w:val="subscript"/>
        </w:rPr>
        <w:t>1c</w:t>
      </w:r>
      <w:r w:rsidR="00B35E21" w:rsidRPr="00842FE5">
        <w:rPr>
          <w:rFonts w:ascii="Times New Roman" w:hAnsi="Times New Roman" w:cs="Times New Roman"/>
          <w:color w:val="0D0D0D" w:themeColor="text1" w:themeTint="F2"/>
          <w:sz w:val="24"/>
          <w:szCs w:val="24"/>
        </w:rPr>
        <w:t xml:space="preserve"> </w:t>
      </w:r>
      <w:r w:rsidR="0075368F" w:rsidRPr="00842FE5">
        <w:rPr>
          <w:rFonts w:ascii="Times New Roman" w:hAnsi="Times New Roman" w:cs="Times New Roman"/>
          <w:color w:val="0D0D0D" w:themeColor="text1" w:themeTint="F2"/>
          <w:sz w:val="24"/>
          <w:szCs w:val="24"/>
        </w:rPr>
        <w:t>&gt;</w:t>
      </w:r>
      <w:r w:rsidR="00B35E21" w:rsidRPr="00842FE5">
        <w:rPr>
          <w:rFonts w:ascii="Times New Roman" w:hAnsi="Times New Roman" w:cs="Times New Roman"/>
          <w:color w:val="0D0D0D" w:themeColor="text1" w:themeTint="F2"/>
          <w:sz w:val="24"/>
          <w:szCs w:val="24"/>
        </w:rPr>
        <w:t xml:space="preserve">8.5% </w:t>
      </w:r>
      <w:r w:rsidR="0075368F" w:rsidRPr="00842FE5">
        <w:rPr>
          <w:rFonts w:ascii="Times New Roman" w:hAnsi="Times New Roman" w:cs="Times New Roman"/>
          <w:color w:val="0D0D0D" w:themeColor="text1" w:themeTint="F2"/>
          <w:sz w:val="24"/>
          <w:szCs w:val="24"/>
        </w:rPr>
        <w:t>[</w:t>
      </w:r>
      <w:r w:rsidR="00B35E21" w:rsidRPr="00842FE5">
        <w:rPr>
          <w:rFonts w:ascii="Times New Roman" w:hAnsi="Times New Roman" w:cs="Times New Roman"/>
          <w:color w:val="0D0D0D" w:themeColor="text1" w:themeTint="F2"/>
          <w:sz w:val="24"/>
          <w:szCs w:val="24"/>
        </w:rPr>
        <w:t>69.4 mmol/mol]</w:t>
      </w:r>
      <w:r w:rsidR="0075368F" w:rsidRPr="00842FE5">
        <w:rPr>
          <w:rFonts w:ascii="Times New Roman" w:hAnsi="Times New Roman" w:cs="Times New Roman"/>
          <w:color w:val="0D0D0D" w:themeColor="text1" w:themeTint="F2"/>
          <w:sz w:val="24"/>
          <w:szCs w:val="24"/>
        </w:rPr>
        <w:t>)</w:t>
      </w:r>
      <w:r w:rsidR="00B35E21" w:rsidRPr="00842FE5">
        <w:rPr>
          <w:rFonts w:ascii="Times New Roman" w:hAnsi="Times New Roman" w:cs="Times New Roman"/>
          <w:color w:val="0D0D0D" w:themeColor="text1" w:themeTint="F2"/>
          <w:sz w:val="24"/>
          <w:szCs w:val="24"/>
        </w:rPr>
        <w:t>.</w:t>
      </w:r>
    </w:p>
    <w:p w14:paraId="4DCCAD46" w14:textId="4BF9B822" w:rsidR="00DF2882" w:rsidRPr="00842FE5" w:rsidRDefault="00DF2882" w:rsidP="003858C4">
      <w:pPr>
        <w:tabs>
          <w:tab w:val="left" w:pos="3441"/>
        </w:tabs>
        <w:spacing w:line="480" w:lineRule="auto"/>
        <w:rPr>
          <w:rFonts w:ascii="Times New Roman" w:hAnsi="Times New Roman" w:cs="Times New Roman"/>
          <w:i/>
          <w:iCs/>
          <w:color w:val="0D0D0D" w:themeColor="text1" w:themeTint="F2"/>
          <w:sz w:val="24"/>
          <w:szCs w:val="24"/>
        </w:rPr>
      </w:pPr>
      <w:r w:rsidRPr="00842FE5">
        <w:rPr>
          <w:rFonts w:ascii="Times New Roman" w:hAnsi="Times New Roman" w:cs="Times New Roman"/>
          <w:b/>
          <w:bCs/>
          <w:i/>
          <w:iCs/>
          <w:color w:val="0D0D0D" w:themeColor="text1" w:themeTint="F2"/>
          <w:sz w:val="24"/>
          <w:szCs w:val="24"/>
        </w:rPr>
        <w:t>Study endpoints</w:t>
      </w:r>
    </w:p>
    <w:p w14:paraId="78496068" w14:textId="5D83E58F" w:rsidR="00100A40" w:rsidRPr="00842FE5" w:rsidRDefault="007A41E8" w:rsidP="003858C4">
      <w:pPr>
        <w:pStyle w:val="ListParagraph"/>
        <w:tabs>
          <w:tab w:val="left" w:pos="851"/>
        </w:tabs>
        <w:spacing w:line="480" w:lineRule="auto"/>
        <w:ind w:left="0"/>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lastRenderedPageBreak/>
        <w:t xml:space="preserve">The primary endpoint was </w:t>
      </w:r>
      <w:r w:rsidR="00C64ADC" w:rsidRPr="00842FE5">
        <w:rPr>
          <w:rFonts w:ascii="Times New Roman" w:hAnsi="Times New Roman" w:cs="Times New Roman"/>
          <w:color w:val="0D0D0D" w:themeColor="text1" w:themeTint="F2"/>
          <w:sz w:val="24"/>
          <w:szCs w:val="24"/>
        </w:rPr>
        <w:t xml:space="preserve">the </w:t>
      </w:r>
      <w:r w:rsidRPr="00842FE5">
        <w:rPr>
          <w:rFonts w:ascii="Times New Roman" w:hAnsi="Times New Roman" w:cs="Times New Roman"/>
          <w:color w:val="0D0D0D" w:themeColor="text1" w:themeTint="F2"/>
          <w:sz w:val="24"/>
          <w:szCs w:val="24"/>
        </w:rPr>
        <w:t>change in HbA</w:t>
      </w:r>
      <w:r w:rsidRPr="00842FE5">
        <w:rPr>
          <w:rFonts w:ascii="Times New Roman" w:hAnsi="Times New Roman" w:cs="Times New Roman"/>
          <w:color w:val="0D0D0D" w:themeColor="text1" w:themeTint="F2"/>
          <w:sz w:val="24"/>
          <w:szCs w:val="24"/>
          <w:vertAlign w:val="subscript"/>
        </w:rPr>
        <w:t>1c</w:t>
      </w:r>
      <w:r w:rsidRPr="00842FE5">
        <w:rPr>
          <w:rFonts w:ascii="Times New Roman" w:hAnsi="Times New Roman" w:cs="Times New Roman"/>
          <w:color w:val="0D0D0D" w:themeColor="text1" w:themeTint="F2"/>
          <w:sz w:val="24"/>
          <w:szCs w:val="24"/>
        </w:rPr>
        <w:t xml:space="preserve"> from baseline to Week 26</w:t>
      </w:r>
      <w:r w:rsidR="00EE75E8" w:rsidRPr="00842FE5">
        <w:rPr>
          <w:rFonts w:ascii="Times New Roman" w:hAnsi="Times New Roman" w:cs="Times New Roman"/>
          <w:color w:val="0D0D0D" w:themeColor="text1" w:themeTint="F2"/>
          <w:sz w:val="24"/>
          <w:szCs w:val="24"/>
        </w:rPr>
        <w:t xml:space="preserve">. Secondary endpoints </w:t>
      </w:r>
      <w:r w:rsidR="0094270F" w:rsidRPr="00842FE5">
        <w:rPr>
          <w:rFonts w:ascii="Times New Roman" w:hAnsi="Times New Roman" w:cs="Times New Roman"/>
          <w:color w:val="0D0D0D" w:themeColor="text1" w:themeTint="F2"/>
          <w:sz w:val="24"/>
          <w:szCs w:val="24"/>
        </w:rPr>
        <w:t xml:space="preserve">included </w:t>
      </w:r>
      <w:r w:rsidR="00F4369E" w:rsidRPr="00842FE5">
        <w:rPr>
          <w:rFonts w:ascii="Times New Roman" w:hAnsi="Times New Roman" w:cs="Times New Roman"/>
          <w:color w:val="0D0D0D" w:themeColor="text1" w:themeTint="F2"/>
          <w:sz w:val="24"/>
          <w:szCs w:val="24"/>
        </w:rPr>
        <w:t>change in HbA</w:t>
      </w:r>
      <w:r w:rsidR="00F4369E" w:rsidRPr="00842FE5">
        <w:rPr>
          <w:rFonts w:ascii="Times New Roman" w:hAnsi="Times New Roman" w:cs="Times New Roman"/>
          <w:color w:val="0D0D0D" w:themeColor="text1" w:themeTint="F2"/>
          <w:sz w:val="24"/>
          <w:szCs w:val="24"/>
          <w:vertAlign w:val="subscript"/>
        </w:rPr>
        <w:t>1c</w:t>
      </w:r>
      <w:r w:rsidR="00357B83" w:rsidRPr="00842FE5">
        <w:rPr>
          <w:rFonts w:ascii="Times New Roman" w:hAnsi="Times New Roman" w:cs="Times New Roman"/>
          <w:color w:val="0D0D0D" w:themeColor="text1" w:themeTint="F2"/>
          <w:sz w:val="24"/>
          <w:szCs w:val="24"/>
        </w:rPr>
        <w:t xml:space="preserve"> </w:t>
      </w:r>
      <w:r w:rsidR="00251D1B" w:rsidRPr="00842FE5">
        <w:rPr>
          <w:rFonts w:ascii="Times New Roman" w:hAnsi="Times New Roman" w:cs="Times New Roman"/>
          <w:color w:val="0D0D0D" w:themeColor="text1" w:themeTint="F2"/>
          <w:sz w:val="24"/>
          <w:szCs w:val="24"/>
        </w:rPr>
        <w:t>from baseline to Week 12</w:t>
      </w:r>
      <w:r w:rsidR="009B44FC" w:rsidRPr="00842FE5">
        <w:rPr>
          <w:rFonts w:ascii="Times New Roman" w:hAnsi="Times New Roman" w:cs="Times New Roman"/>
          <w:color w:val="0D0D0D" w:themeColor="text1" w:themeTint="F2"/>
          <w:sz w:val="24"/>
          <w:szCs w:val="24"/>
        </w:rPr>
        <w:t>,</w:t>
      </w:r>
      <w:r w:rsidR="00251D1B" w:rsidRPr="00842FE5">
        <w:rPr>
          <w:rFonts w:ascii="Times New Roman" w:hAnsi="Times New Roman" w:cs="Times New Roman"/>
          <w:color w:val="0D0D0D" w:themeColor="text1" w:themeTint="F2"/>
          <w:sz w:val="24"/>
          <w:szCs w:val="24"/>
        </w:rPr>
        <w:t xml:space="preserve"> </w:t>
      </w:r>
      <w:r w:rsidR="00284FEA" w:rsidRPr="00842FE5">
        <w:rPr>
          <w:rFonts w:ascii="Times New Roman" w:hAnsi="Times New Roman" w:cs="Times New Roman"/>
          <w:color w:val="0D0D0D" w:themeColor="text1" w:themeTint="F2"/>
          <w:sz w:val="24"/>
          <w:szCs w:val="24"/>
        </w:rPr>
        <w:t xml:space="preserve">changes in FPG, SMPG and 7-point SMPG </w:t>
      </w:r>
      <w:r w:rsidR="00261C3D">
        <w:rPr>
          <w:rFonts w:ascii="Times New Roman" w:hAnsi="Times New Roman" w:cs="Times New Roman"/>
          <w:color w:val="0D0D0D" w:themeColor="text1" w:themeTint="F2"/>
          <w:sz w:val="24"/>
          <w:szCs w:val="24"/>
        </w:rPr>
        <w:t>over 26</w:t>
      </w:r>
      <w:r w:rsidR="00284FEA" w:rsidRPr="00842FE5">
        <w:rPr>
          <w:rFonts w:ascii="Times New Roman" w:hAnsi="Times New Roman" w:cs="Times New Roman"/>
          <w:color w:val="0D0D0D" w:themeColor="text1" w:themeTint="F2"/>
          <w:sz w:val="24"/>
          <w:szCs w:val="24"/>
        </w:rPr>
        <w:t xml:space="preserve"> </w:t>
      </w:r>
      <w:r w:rsidR="00261C3D">
        <w:rPr>
          <w:rFonts w:ascii="Times New Roman" w:hAnsi="Times New Roman" w:cs="Times New Roman"/>
          <w:color w:val="0D0D0D" w:themeColor="text1" w:themeTint="F2"/>
          <w:sz w:val="24"/>
          <w:szCs w:val="24"/>
        </w:rPr>
        <w:t>w</w:t>
      </w:r>
      <w:r w:rsidR="00284FEA" w:rsidRPr="00842FE5">
        <w:rPr>
          <w:rFonts w:ascii="Times New Roman" w:hAnsi="Times New Roman" w:cs="Times New Roman"/>
          <w:color w:val="0D0D0D" w:themeColor="text1" w:themeTint="F2"/>
          <w:sz w:val="24"/>
          <w:szCs w:val="24"/>
        </w:rPr>
        <w:t>eek</w:t>
      </w:r>
      <w:r w:rsidR="00374FEB">
        <w:rPr>
          <w:rFonts w:ascii="Times New Roman" w:hAnsi="Times New Roman" w:cs="Times New Roman"/>
          <w:color w:val="0D0D0D" w:themeColor="text1" w:themeTint="F2"/>
          <w:sz w:val="24"/>
          <w:szCs w:val="24"/>
        </w:rPr>
        <w:t>s</w:t>
      </w:r>
      <w:r w:rsidR="00284FEA" w:rsidRPr="00842FE5">
        <w:rPr>
          <w:rFonts w:ascii="Times New Roman" w:hAnsi="Times New Roman" w:cs="Times New Roman"/>
          <w:color w:val="0D0D0D" w:themeColor="text1" w:themeTint="F2"/>
          <w:sz w:val="24"/>
          <w:szCs w:val="24"/>
        </w:rPr>
        <w:t xml:space="preserve">, </w:t>
      </w:r>
      <w:r w:rsidR="00251D1B" w:rsidRPr="00842FE5">
        <w:rPr>
          <w:rFonts w:ascii="Times New Roman" w:hAnsi="Times New Roman" w:cs="Times New Roman"/>
          <w:color w:val="0D0D0D" w:themeColor="text1" w:themeTint="F2"/>
          <w:sz w:val="24"/>
          <w:szCs w:val="24"/>
        </w:rPr>
        <w:t xml:space="preserve">percentage of participants </w:t>
      </w:r>
      <w:r w:rsidR="00946E60" w:rsidRPr="00842FE5">
        <w:rPr>
          <w:rFonts w:ascii="Times New Roman" w:hAnsi="Times New Roman" w:cs="Times New Roman"/>
          <w:color w:val="0D0D0D" w:themeColor="text1" w:themeTint="F2"/>
          <w:sz w:val="24"/>
          <w:szCs w:val="24"/>
        </w:rPr>
        <w:t xml:space="preserve">achieving </w:t>
      </w:r>
      <w:r w:rsidR="00F26BCF" w:rsidRPr="00842FE5">
        <w:rPr>
          <w:rFonts w:ascii="Times New Roman" w:hAnsi="Times New Roman" w:cs="Times New Roman"/>
          <w:color w:val="0D0D0D" w:themeColor="text1" w:themeTint="F2"/>
          <w:sz w:val="24"/>
          <w:szCs w:val="24"/>
        </w:rPr>
        <w:t>glycaemic targets</w:t>
      </w:r>
      <w:r w:rsidR="00F26BCF" w:rsidRPr="00842FE5">
        <w:rPr>
          <w:rFonts w:ascii="Times New Roman" w:hAnsi="Times New Roman" w:cs="Times New Roman"/>
          <w:b/>
          <w:bCs/>
          <w:color w:val="0D0D0D" w:themeColor="text1" w:themeTint="F2"/>
          <w:sz w:val="24"/>
          <w:szCs w:val="24"/>
        </w:rPr>
        <w:t xml:space="preserve"> </w:t>
      </w:r>
      <w:r w:rsidR="00E00F52" w:rsidRPr="00842FE5">
        <w:rPr>
          <w:rFonts w:ascii="Times New Roman" w:hAnsi="Times New Roman" w:cs="Times New Roman"/>
          <w:color w:val="0D0D0D" w:themeColor="text1" w:themeTint="F2"/>
          <w:sz w:val="24"/>
          <w:szCs w:val="24"/>
        </w:rPr>
        <w:t>(</w:t>
      </w:r>
      <w:r w:rsidR="00251D1B" w:rsidRPr="00842FE5">
        <w:rPr>
          <w:rFonts w:ascii="Times New Roman" w:hAnsi="Times New Roman" w:cs="Times New Roman"/>
          <w:color w:val="0D0D0D" w:themeColor="text1" w:themeTint="F2"/>
          <w:sz w:val="24"/>
          <w:szCs w:val="24"/>
        </w:rPr>
        <w:t>HbA</w:t>
      </w:r>
      <w:r w:rsidR="00251D1B" w:rsidRPr="00842FE5">
        <w:rPr>
          <w:rFonts w:ascii="Times New Roman" w:hAnsi="Times New Roman" w:cs="Times New Roman"/>
          <w:color w:val="0D0D0D" w:themeColor="text1" w:themeTint="F2"/>
          <w:sz w:val="24"/>
          <w:szCs w:val="24"/>
          <w:vertAlign w:val="subscript"/>
        </w:rPr>
        <w:t>1c</w:t>
      </w:r>
      <w:r w:rsidR="00251D1B" w:rsidRPr="00842FE5">
        <w:rPr>
          <w:rFonts w:ascii="Times New Roman" w:hAnsi="Times New Roman" w:cs="Times New Roman"/>
          <w:color w:val="0D0D0D" w:themeColor="text1" w:themeTint="F2"/>
          <w:sz w:val="24"/>
          <w:szCs w:val="24"/>
        </w:rPr>
        <w:t xml:space="preserve"> &lt;7%</w:t>
      </w:r>
      <w:r w:rsidR="0027445E" w:rsidRPr="00842FE5">
        <w:rPr>
          <w:rFonts w:ascii="Times New Roman" w:hAnsi="Times New Roman" w:cs="Times New Roman"/>
          <w:color w:val="0D0D0D" w:themeColor="text1" w:themeTint="F2"/>
          <w:sz w:val="24"/>
          <w:szCs w:val="24"/>
        </w:rPr>
        <w:t xml:space="preserve"> </w:t>
      </w:r>
      <w:r w:rsidR="007201CA" w:rsidRPr="00842FE5">
        <w:rPr>
          <w:rFonts w:ascii="Times New Roman" w:hAnsi="Times New Roman" w:cs="Times New Roman"/>
          <w:color w:val="0D0D0D" w:themeColor="text1" w:themeTint="F2"/>
          <w:sz w:val="24"/>
          <w:szCs w:val="24"/>
        </w:rPr>
        <w:t xml:space="preserve">and </w:t>
      </w:r>
      <w:r w:rsidR="0027445E" w:rsidRPr="00842FE5">
        <w:rPr>
          <w:rFonts w:ascii="Times New Roman" w:hAnsi="Times New Roman" w:cs="Times New Roman"/>
          <w:color w:val="0D0D0D" w:themeColor="text1" w:themeTint="F2"/>
          <w:sz w:val="24"/>
          <w:szCs w:val="24"/>
        </w:rPr>
        <w:t xml:space="preserve">fasting SMPG 80 to 110 mg/dL </w:t>
      </w:r>
      <w:r w:rsidR="00E00F52" w:rsidRPr="00842FE5">
        <w:rPr>
          <w:rFonts w:ascii="Times New Roman" w:hAnsi="Times New Roman" w:cs="Times New Roman"/>
          <w:color w:val="0D0D0D" w:themeColor="text1" w:themeTint="F2"/>
          <w:sz w:val="24"/>
          <w:szCs w:val="24"/>
        </w:rPr>
        <w:t>[</w:t>
      </w:r>
      <w:r w:rsidR="0027445E" w:rsidRPr="00842FE5">
        <w:rPr>
          <w:rFonts w:ascii="Times New Roman" w:hAnsi="Times New Roman" w:cs="Times New Roman"/>
          <w:color w:val="0D0D0D" w:themeColor="text1" w:themeTint="F2"/>
          <w:sz w:val="24"/>
          <w:szCs w:val="24"/>
        </w:rPr>
        <w:t xml:space="preserve">4.4 </w:t>
      </w:r>
      <w:r w:rsidR="00F73486" w:rsidRPr="00842FE5">
        <w:rPr>
          <w:rFonts w:ascii="Times New Roman" w:hAnsi="Times New Roman" w:cs="Times New Roman"/>
          <w:color w:val="0D0D0D" w:themeColor="text1" w:themeTint="F2"/>
          <w:sz w:val="24"/>
          <w:szCs w:val="24"/>
        </w:rPr>
        <w:t>–</w:t>
      </w:r>
      <w:r w:rsidR="0027445E" w:rsidRPr="00842FE5">
        <w:rPr>
          <w:rFonts w:ascii="Times New Roman" w:hAnsi="Times New Roman" w:cs="Times New Roman"/>
          <w:color w:val="0D0D0D" w:themeColor="text1" w:themeTint="F2"/>
          <w:sz w:val="24"/>
          <w:szCs w:val="24"/>
        </w:rPr>
        <w:t xml:space="preserve"> </w:t>
      </w:r>
      <w:r w:rsidR="00EE67D6" w:rsidRPr="00842FE5">
        <w:rPr>
          <w:rFonts w:ascii="Times New Roman" w:hAnsi="Times New Roman" w:cs="Times New Roman"/>
          <w:color w:val="0D0D0D" w:themeColor="text1" w:themeTint="F2"/>
          <w:sz w:val="24"/>
          <w:szCs w:val="24"/>
        </w:rPr>
        <w:t xml:space="preserve">6.1 </w:t>
      </w:r>
      <w:r w:rsidR="0027445E" w:rsidRPr="00842FE5">
        <w:rPr>
          <w:rFonts w:ascii="Times New Roman" w:hAnsi="Times New Roman" w:cs="Times New Roman"/>
          <w:color w:val="0D0D0D" w:themeColor="text1" w:themeTint="F2"/>
          <w:sz w:val="24"/>
          <w:szCs w:val="24"/>
        </w:rPr>
        <w:t>mmol/L</w:t>
      </w:r>
      <w:r w:rsidR="00E00F52" w:rsidRPr="00842FE5">
        <w:rPr>
          <w:rFonts w:ascii="Times New Roman" w:hAnsi="Times New Roman" w:cs="Times New Roman"/>
          <w:color w:val="0D0D0D" w:themeColor="text1" w:themeTint="F2"/>
          <w:sz w:val="24"/>
          <w:szCs w:val="24"/>
        </w:rPr>
        <w:t>]</w:t>
      </w:r>
      <w:r w:rsidR="0027445E" w:rsidRPr="00842FE5">
        <w:rPr>
          <w:rFonts w:ascii="Times New Roman" w:hAnsi="Times New Roman" w:cs="Times New Roman"/>
          <w:color w:val="0D0D0D" w:themeColor="text1" w:themeTint="F2"/>
          <w:sz w:val="24"/>
          <w:szCs w:val="24"/>
        </w:rPr>
        <w:t>)</w:t>
      </w:r>
      <w:r w:rsidR="006F4F6D" w:rsidRPr="00842FE5">
        <w:rPr>
          <w:rFonts w:ascii="Times New Roman" w:hAnsi="Times New Roman" w:cs="Times New Roman"/>
          <w:color w:val="0D0D0D" w:themeColor="text1" w:themeTint="F2"/>
          <w:sz w:val="24"/>
          <w:szCs w:val="24"/>
        </w:rPr>
        <w:t xml:space="preserve">, </w:t>
      </w:r>
      <w:r w:rsidR="00737078" w:rsidRPr="00842FE5">
        <w:rPr>
          <w:rFonts w:ascii="Times New Roman" w:hAnsi="Times New Roman" w:cs="Times New Roman"/>
          <w:color w:val="0D0D0D" w:themeColor="text1" w:themeTint="F2"/>
          <w:sz w:val="24"/>
          <w:szCs w:val="24"/>
        </w:rPr>
        <w:t xml:space="preserve">percentage of participants achieving glycaemic target without </w:t>
      </w:r>
      <w:r w:rsidR="00374FEB">
        <w:rPr>
          <w:rFonts w:ascii="Times New Roman" w:hAnsi="Times New Roman" w:cs="Times New Roman"/>
          <w:color w:val="0D0D0D" w:themeColor="text1" w:themeTint="F2"/>
          <w:sz w:val="24"/>
          <w:szCs w:val="24"/>
        </w:rPr>
        <w:t xml:space="preserve">any </w:t>
      </w:r>
      <w:r w:rsidR="00737078" w:rsidRPr="00842FE5">
        <w:rPr>
          <w:rFonts w:ascii="Times New Roman" w:hAnsi="Times New Roman" w:cs="Times New Roman"/>
          <w:color w:val="0D0D0D" w:themeColor="text1" w:themeTint="F2"/>
          <w:sz w:val="24"/>
          <w:szCs w:val="24"/>
        </w:rPr>
        <w:t>sever</w:t>
      </w:r>
      <w:r w:rsidR="00EB77AF" w:rsidRPr="00842FE5">
        <w:rPr>
          <w:rFonts w:ascii="Times New Roman" w:hAnsi="Times New Roman" w:cs="Times New Roman"/>
          <w:color w:val="0D0D0D" w:themeColor="text1" w:themeTint="F2"/>
          <w:sz w:val="24"/>
          <w:szCs w:val="24"/>
        </w:rPr>
        <w:t>e</w:t>
      </w:r>
      <w:r w:rsidR="00737078" w:rsidRPr="00842FE5">
        <w:rPr>
          <w:rFonts w:ascii="Times New Roman" w:hAnsi="Times New Roman" w:cs="Times New Roman"/>
          <w:color w:val="0D0D0D" w:themeColor="text1" w:themeTint="F2"/>
          <w:sz w:val="24"/>
          <w:szCs w:val="24"/>
        </w:rPr>
        <w:t xml:space="preserve"> or symptomatic documented (≤3.9 mmol/L [70 mg/dL]) hypoglycaemia event, </w:t>
      </w:r>
      <w:r w:rsidR="00284FEA" w:rsidRPr="00842FE5">
        <w:rPr>
          <w:rFonts w:ascii="Times New Roman" w:hAnsi="Times New Roman" w:cs="Times New Roman"/>
          <w:color w:val="0D0D0D" w:themeColor="text1" w:themeTint="F2"/>
          <w:sz w:val="24"/>
          <w:szCs w:val="24"/>
        </w:rPr>
        <w:t xml:space="preserve">and </w:t>
      </w:r>
      <w:r w:rsidR="007D34C2" w:rsidRPr="00842FE5">
        <w:rPr>
          <w:rFonts w:ascii="Times New Roman" w:hAnsi="Times New Roman" w:cs="Times New Roman"/>
          <w:color w:val="0D0D0D" w:themeColor="text1" w:themeTint="F2"/>
          <w:sz w:val="24"/>
          <w:szCs w:val="24"/>
        </w:rPr>
        <w:t xml:space="preserve">the </w:t>
      </w:r>
      <w:r w:rsidR="00D91428" w:rsidRPr="00842FE5">
        <w:rPr>
          <w:rFonts w:ascii="Times New Roman" w:hAnsi="Times New Roman" w:cs="Times New Roman"/>
          <w:color w:val="0D0D0D" w:themeColor="text1" w:themeTint="F2"/>
          <w:sz w:val="24"/>
          <w:szCs w:val="24"/>
        </w:rPr>
        <w:t>percentage of participants</w:t>
      </w:r>
      <w:r w:rsidR="007D34C2" w:rsidRPr="00842FE5">
        <w:rPr>
          <w:rFonts w:ascii="Times New Roman" w:hAnsi="Times New Roman" w:cs="Times New Roman"/>
          <w:color w:val="0D0D0D" w:themeColor="text1" w:themeTint="F2"/>
          <w:sz w:val="24"/>
          <w:szCs w:val="24"/>
        </w:rPr>
        <w:t xml:space="preserve"> </w:t>
      </w:r>
      <w:r w:rsidR="00B66E79" w:rsidRPr="00842FE5">
        <w:rPr>
          <w:rFonts w:ascii="Times New Roman" w:hAnsi="Times New Roman" w:cs="Times New Roman"/>
          <w:color w:val="0D0D0D" w:themeColor="text1" w:themeTint="F2"/>
          <w:sz w:val="24"/>
          <w:szCs w:val="24"/>
        </w:rPr>
        <w:t xml:space="preserve">requiring rescue therapy </w:t>
      </w:r>
      <w:r w:rsidR="009C5A6E" w:rsidRPr="00842FE5">
        <w:rPr>
          <w:rFonts w:ascii="Times New Roman" w:hAnsi="Times New Roman" w:cs="Times New Roman"/>
          <w:color w:val="0D0D0D" w:themeColor="text1" w:themeTint="F2"/>
          <w:sz w:val="24"/>
          <w:szCs w:val="24"/>
        </w:rPr>
        <w:t>during the study</w:t>
      </w:r>
      <w:r w:rsidR="00100A40" w:rsidRPr="00842FE5">
        <w:rPr>
          <w:rFonts w:ascii="Times New Roman" w:hAnsi="Times New Roman" w:cs="Times New Roman"/>
          <w:color w:val="0D0D0D" w:themeColor="text1" w:themeTint="F2"/>
          <w:sz w:val="24"/>
          <w:szCs w:val="24"/>
        </w:rPr>
        <w:t>.</w:t>
      </w:r>
      <w:r w:rsidR="00FC1EFD" w:rsidRPr="00842FE5">
        <w:rPr>
          <w:rFonts w:ascii="Times New Roman" w:hAnsi="Times New Roman" w:cs="Times New Roman"/>
          <w:color w:val="0D0D0D" w:themeColor="text1" w:themeTint="F2"/>
          <w:sz w:val="24"/>
          <w:szCs w:val="24"/>
        </w:rPr>
        <w:t xml:space="preserve"> </w:t>
      </w:r>
      <w:r w:rsidR="00211269" w:rsidRPr="00842FE5">
        <w:rPr>
          <w:rFonts w:ascii="Times New Roman" w:hAnsi="Times New Roman" w:cs="Times New Roman"/>
          <w:color w:val="0D0D0D" w:themeColor="text1" w:themeTint="F2"/>
          <w:sz w:val="24"/>
          <w:szCs w:val="24"/>
        </w:rPr>
        <w:t xml:space="preserve">Other study endpoints included </w:t>
      </w:r>
      <w:r w:rsidR="008B635E" w:rsidRPr="00842FE5">
        <w:rPr>
          <w:rFonts w:ascii="Times New Roman" w:hAnsi="Times New Roman" w:cs="Times New Roman"/>
          <w:color w:val="0D0D0D" w:themeColor="text1" w:themeTint="F2"/>
          <w:sz w:val="24"/>
          <w:szCs w:val="24"/>
        </w:rPr>
        <w:t>changes in BI dose, body weight</w:t>
      </w:r>
      <w:r w:rsidR="00C32622" w:rsidRPr="00842FE5">
        <w:rPr>
          <w:rFonts w:ascii="Times New Roman" w:hAnsi="Times New Roman" w:cs="Times New Roman"/>
          <w:color w:val="0D0D0D" w:themeColor="text1" w:themeTint="F2"/>
          <w:sz w:val="24"/>
          <w:szCs w:val="24"/>
        </w:rPr>
        <w:t>,</w:t>
      </w:r>
      <w:r w:rsidR="008B635E" w:rsidRPr="00842FE5">
        <w:rPr>
          <w:rFonts w:ascii="Times New Roman" w:hAnsi="Times New Roman" w:cs="Times New Roman"/>
          <w:color w:val="0D0D0D" w:themeColor="text1" w:themeTint="F2"/>
          <w:sz w:val="24"/>
          <w:szCs w:val="24"/>
        </w:rPr>
        <w:t xml:space="preserve"> insulin treatment satisfaction questionnaire (ITSQ) </w:t>
      </w:r>
      <w:r w:rsidR="00587659" w:rsidRPr="00842FE5">
        <w:rPr>
          <w:rFonts w:ascii="Times New Roman" w:hAnsi="Times New Roman" w:cs="Times New Roman"/>
          <w:color w:val="0D0D0D" w:themeColor="text1" w:themeTint="F2"/>
          <w:sz w:val="24"/>
          <w:szCs w:val="24"/>
        </w:rPr>
        <w:t>score</w:t>
      </w:r>
      <w:r w:rsidR="0015263D" w:rsidRPr="00842FE5">
        <w:rPr>
          <w:rFonts w:ascii="Times New Roman" w:hAnsi="Times New Roman" w:cs="Times New Roman"/>
          <w:color w:val="0D0D0D" w:themeColor="text1" w:themeTint="F2"/>
          <w:sz w:val="24"/>
          <w:szCs w:val="24"/>
        </w:rPr>
        <w:t xml:space="preserve"> </w:t>
      </w:r>
      <w:r w:rsidR="008B635E" w:rsidRPr="00842FE5">
        <w:rPr>
          <w:rFonts w:ascii="Times New Roman" w:hAnsi="Times New Roman" w:cs="Times New Roman"/>
          <w:color w:val="0D0D0D" w:themeColor="text1" w:themeTint="F2"/>
          <w:sz w:val="24"/>
          <w:szCs w:val="24"/>
        </w:rPr>
        <w:t>and percentage of participants with healthcare resource utilisation (HCRU)</w:t>
      </w:r>
      <w:r w:rsidR="00693387" w:rsidRPr="00842FE5">
        <w:rPr>
          <w:rFonts w:ascii="Times New Roman" w:hAnsi="Times New Roman" w:cs="Times New Roman"/>
          <w:color w:val="0D0D0D" w:themeColor="text1" w:themeTint="F2"/>
          <w:sz w:val="24"/>
          <w:szCs w:val="24"/>
        </w:rPr>
        <w:t>,</w:t>
      </w:r>
      <w:r w:rsidR="00D20ABF" w:rsidRPr="00842FE5">
        <w:rPr>
          <w:rFonts w:ascii="Times New Roman" w:hAnsi="Times New Roman" w:cs="Times New Roman"/>
          <w:color w:val="0D0D0D" w:themeColor="text1" w:themeTint="F2"/>
          <w:sz w:val="24"/>
          <w:szCs w:val="24"/>
        </w:rPr>
        <w:t xml:space="preserve"> hypoglycaemia incidence and rates, as well as incidence of adverse events</w:t>
      </w:r>
      <w:r w:rsidR="00693387" w:rsidRPr="00842FE5">
        <w:rPr>
          <w:rFonts w:ascii="Times New Roman" w:hAnsi="Times New Roman" w:cs="Times New Roman"/>
          <w:color w:val="0D0D0D" w:themeColor="text1" w:themeTint="F2"/>
          <w:sz w:val="24"/>
          <w:szCs w:val="24"/>
        </w:rPr>
        <w:t xml:space="preserve"> </w:t>
      </w:r>
      <w:r w:rsidR="007E1385">
        <w:rPr>
          <w:rFonts w:ascii="Times New Roman" w:hAnsi="Times New Roman" w:cs="Times New Roman"/>
          <w:color w:val="0D0D0D" w:themeColor="text1" w:themeTint="F2"/>
          <w:sz w:val="24"/>
          <w:szCs w:val="24"/>
        </w:rPr>
        <w:t>during the 26-week treatment period</w:t>
      </w:r>
      <w:r w:rsidR="008B635E" w:rsidRPr="00842FE5">
        <w:rPr>
          <w:rFonts w:ascii="Times New Roman" w:hAnsi="Times New Roman" w:cs="Times New Roman"/>
          <w:color w:val="0D0D0D" w:themeColor="text1" w:themeTint="F2"/>
          <w:sz w:val="24"/>
          <w:szCs w:val="24"/>
        </w:rPr>
        <w:t xml:space="preserve">. </w:t>
      </w:r>
    </w:p>
    <w:p w14:paraId="3F8B0BFE" w14:textId="37109A5F" w:rsidR="001442AE" w:rsidRPr="00842FE5" w:rsidRDefault="001442AE" w:rsidP="003858C4">
      <w:pPr>
        <w:pStyle w:val="ListParagraph"/>
        <w:tabs>
          <w:tab w:val="left" w:pos="3441"/>
        </w:tabs>
        <w:spacing w:line="480" w:lineRule="auto"/>
        <w:ind w:left="709" w:hanging="709"/>
        <w:rPr>
          <w:rFonts w:ascii="Times New Roman" w:hAnsi="Times New Roman" w:cs="Times New Roman"/>
          <w:b/>
          <w:bCs/>
          <w:i/>
          <w:iCs/>
          <w:color w:val="0D0D0D" w:themeColor="text1" w:themeTint="F2"/>
          <w:sz w:val="24"/>
          <w:szCs w:val="24"/>
        </w:rPr>
      </w:pPr>
      <w:r w:rsidRPr="00842FE5">
        <w:rPr>
          <w:rFonts w:ascii="Times New Roman" w:hAnsi="Times New Roman" w:cs="Times New Roman"/>
          <w:b/>
          <w:bCs/>
          <w:i/>
          <w:iCs/>
          <w:color w:val="0D0D0D" w:themeColor="text1" w:themeTint="F2"/>
          <w:sz w:val="24"/>
          <w:szCs w:val="24"/>
        </w:rPr>
        <w:t xml:space="preserve">Data </w:t>
      </w:r>
      <w:r w:rsidR="0086297B" w:rsidRPr="00842FE5">
        <w:rPr>
          <w:rFonts w:ascii="Times New Roman" w:hAnsi="Times New Roman" w:cs="Times New Roman"/>
          <w:b/>
          <w:bCs/>
          <w:i/>
          <w:iCs/>
          <w:color w:val="0D0D0D" w:themeColor="text1" w:themeTint="F2"/>
          <w:sz w:val="24"/>
          <w:szCs w:val="24"/>
        </w:rPr>
        <w:t>c</w:t>
      </w:r>
      <w:r w:rsidR="00BF61A6" w:rsidRPr="00842FE5">
        <w:rPr>
          <w:rFonts w:ascii="Times New Roman" w:hAnsi="Times New Roman" w:cs="Times New Roman"/>
          <w:b/>
          <w:bCs/>
          <w:i/>
          <w:iCs/>
          <w:color w:val="0D0D0D" w:themeColor="text1" w:themeTint="F2"/>
          <w:sz w:val="24"/>
          <w:szCs w:val="24"/>
        </w:rPr>
        <w:t xml:space="preserve">ollection </w:t>
      </w:r>
      <w:r w:rsidRPr="00842FE5">
        <w:rPr>
          <w:rFonts w:ascii="Times New Roman" w:hAnsi="Times New Roman" w:cs="Times New Roman"/>
          <w:b/>
          <w:bCs/>
          <w:i/>
          <w:iCs/>
          <w:color w:val="0D0D0D" w:themeColor="text1" w:themeTint="F2"/>
          <w:sz w:val="24"/>
          <w:szCs w:val="24"/>
        </w:rPr>
        <w:t xml:space="preserve">and </w:t>
      </w:r>
      <w:r w:rsidR="0086297B" w:rsidRPr="00842FE5">
        <w:rPr>
          <w:rFonts w:ascii="Times New Roman" w:hAnsi="Times New Roman" w:cs="Times New Roman"/>
          <w:b/>
          <w:bCs/>
          <w:i/>
          <w:iCs/>
          <w:color w:val="0D0D0D" w:themeColor="text1" w:themeTint="F2"/>
          <w:sz w:val="24"/>
          <w:szCs w:val="24"/>
        </w:rPr>
        <w:t>s</w:t>
      </w:r>
      <w:r w:rsidRPr="00842FE5">
        <w:rPr>
          <w:rFonts w:ascii="Times New Roman" w:hAnsi="Times New Roman" w:cs="Times New Roman"/>
          <w:b/>
          <w:bCs/>
          <w:i/>
          <w:iCs/>
          <w:color w:val="0D0D0D" w:themeColor="text1" w:themeTint="F2"/>
          <w:sz w:val="24"/>
          <w:szCs w:val="24"/>
        </w:rPr>
        <w:t xml:space="preserve">tatistical </w:t>
      </w:r>
      <w:r w:rsidR="0086297B" w:rsidRPr="00842FE5">
        <w:rPr>
          <w:rFonts w:ascii="Times New Roman" w:hAnsi="Times New Roman" w:cs="Times New Roman"/>
          <w:b/>
          <w:bCs/>
          <w:i/>
          <w:iCs/>
          <w:color w:val="0D0D0D" w:themeColor="text1" w:themeTint="F2"/>
          <w:sz w:val="24"/>
          <w:szCs w:val="24"/>
        </w:rPr>
        <w:t>a</w:t>
      </w:r>
      <w:r w:rsidRPr="00842FE5">
        <w:rPr>
          <w:rFonts w:ascii="Times New Roman" w:hAnsi="Times New Roman" w:cs="Times New Roman"/>
          <w:b/>
          <w:bCs/>
          <w:i/>
          <w:iCs/>
          <w:color w:val="0D0D0D" w:themeColor="text1" w:themeTint="F2"/>
          <w:sz w:val="24"/>
          <w:szCs w:val="24"/>
        </w:rPr>
        <w:t>nalysis</w:t>
      </w:r>
    </w:p>
    <w:p w14:paraId="51E536B0" w14:textId="7D21F6F2" w:rsidR="00030725" w:rsidRPr="00842FE5" w:rsidRDefault="004E4943" w:rsidP="00030725">
      <w:pPr>
        <w:pStyle w:val="ListParagraph"/>
        <w:tabs>
          <w:tab w:val="left" w:pos="3441"/>
        </w:tabs>
        <w:spacing w:line="480" w:lineRule="auto"/>
        <w:ind w:left="0"/>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 xml:space="preserve">Participants were supplied with a glucometer and diary at the screening visit </w:t>
      </w:r>
      <w:r w:rsidR="00D94879" w:rsidRPr="00842FE5">
        <w:rPr>
          <w:rFonts w:ascii="Times New Roman" w:hAnsi="Times New Roman" w:cs="Times New Roman"/>
          <w:color w:val="0D0D0D" w:themeColor="text1" w:themeTint="F2"/>
          <w:sz w:val="24"/>
          <w:szCs w:val="24"/>
        </w:rPr>
        <w:t xml:space="preserve">and were required </w:t>
      </w:r>
      <w:r w:rsidRPr="00842FE5">
        <w:rPr>
          <w:rFonts w:ascii="Times New Roman" w:hAnsi="Times New Roman" w:cs="Times New Roman"/>
          <w:color w:val="0D0D0D" w:themeColor="text1" w:themeTint="F2"/>
          <w:sz w:val="24"/>
          <w:szCs w:val="24"/>
        </w:rPr>
        <w:t>to</w:t>
      </w:r>
      <w:r w:rsidR="002B7057" w:rsidRPr="00842FE5">
        <w:rPr>
          <w:rFonts w:ascii="Times New Roman" w:hAnsi="Times New Roman" w:cs="Times New Roman"/>
          <w:color w:val="0D0D0D" w:themeColor="text1" w:themeTint="F2"/>
          <w:sz w:val="24"/>
          <w:szCs w:val="24"/>
        </w:rPr>
        <w:t xml:space="preserve"> </w:t>
      </w:r>
      <w:r w:rsidRPr="00842FE5">
        <w:rPr>
          <w:rFonts w:ascii="Times New Roman" w:hAnsi="Times New Roman" w:cs="Times New Roman"/>
          <w:color w:val="0D0D0D" w:themeColor="text1" w:themeTint="F2"/>
          <w:sz w:val="24"/>
          <w:szCs w:val="24"/>
        </w:rPr>
        <w:t xml:space="preserve">record their fasting SMPG at least </w:t>
      </w:r>
      <w:r w:rsidR="00493D51" w:rsidRPr="00842FE5">
        <w:rPr>
          <w:rFonts w:ascii="Times New Roman" w:hAnsi="Times New Roman" w:cs="Times New Roman"/>
          <w:color w:val="0D0D0D" w:themeColor="text1" w:themeTint="F2"/>
          <w:sz w:val="24"/>
          <w:szCs w:val="24"/>
        </w:rPr>
        <w:t xml:space="preserve">three </w:t>
      </w:r>
      <w:r w:rsidRPr="00842FE5">
        <w:rPr>
          <w:rFonts w:ascii="Times New Roman" w:hAnsi="Times New Roman" w:cs="Times New Roman"/>
          <w:color w:val="0D0D0D" w:themeColor="text1" w:themeTint="F2"/>
          <w:sz w:val="24"/>
          <w:szCs w:val="24"/>
        </w:rPr>
        <w:t xml:space="preserve">times per week </w:t>
      </w:r>
      <w:r w:rsidR="00DF2364" w:rsidRPr="00842FE5">
        <w:rPr>
          <w:rFonts w:ascii="Times New Roman" w:hAnsi="Times New Roman" w:cs="Times New Roman"/>
          <w:color w:val="0D0D0D" w:themeColor="text1" w:themeTint="F2"/>
          <w:sz w:val="24"/>
          <w:szCs w:val="24"/>
        </w:rPr>
        <w:t xml:space="preserve">and </w:t>
      </w:r>
      <w:r w:rsidR="00D9625F" w:rsidRPr="00842FE5">
        <w:rPr>
          <w:rFonts w:ascii="Times New Roman" w:hAnsi="Times New Roman" w:cs="Times New Roman"/>
          <w:color w:val="0D0D0D" w:themeColor="text1" w:themeTint="F2"/>
          <w:sz w:val="24"/>
          <w:szCs w:val="24"/>
        </w:rPr>
        <w:t xml:space="preserve">all Gla-300 doses </w:t>
      </w:r>
      <w:r w:rsidRPr="00842FE5">
        <w:rPr>
          <w:rFonts w:ascii="Times New Roman" w:hAnsi="Times New Roman" w:cs="Times New Roman"/>
          <w:color w:val="0D0D0D" w:themeColor="text1" w:themeTint="F2"/>
          <w:sz w:val="24"/>
          <w:szCs w:val="24"/>
        </w:rPr>
        <w:t xml:space="preserve">throughout the study. </w:t>
      </w:r>
      <w:r w:rsidR="0012586D" w:rsidRPr="00842FE5">
        <w:rPr>
          <w:rFonts w:ascii="Times New Roman" w:hAnsi="Times New Roman" w:cs="Times New Roman"/>
          <w:color w:val="0D0D0D" w:themeColor="text1" w:themeTint="F2"/>
          <w:sz w:val="24"/>
          <w:szCs w:val="24"/>
        </w:rPr>
        <w:t xml:space="preserve">For </w:t>
      </w:r>
      <w:r w:rsidR="002D7D93" w:rsidRPr="00842FE5">
        <w:rPr>
          <w:rFonts w:ascii="Times New Roman" w:hAnsi="Times New Roman" w:cs="Times New Roman"/>
          <w:color w:val="0D0D0D" w:themeColor="text1" w:themeTint="F2"/>
          <w:sz w:val="24"/>
          <w:szCs w:val="24"/>
        </w:rPr>
        <w:t>i</w:t>
      </w:r>
      <w:r w:rsidR="0012586D" w:rsidRPr="00842FE5">
        <w:rPr>
          <w:rFonts w:ascii="Times New Roman" w:hAnsi="Times New Roman" w:cs="Times New Roman"/>
          <w:color w:val="0D0D0D" w:themeColor="text1" w:themeTint="F2"/>
          <w:sz w:val="24"/>
          <w:szCs w:val="24"/>
        </w:rPr>
        <w:t>nsulin treatment satisfaction</w:t>
      </w:r>
      <w:r w:rsidR="002D7D93" w:rsidRPr="00842FE5">
        <w:rPr>
          <w:rFonts w:ascii="Times New Roman" w:hAnsi="Times New Roman" w:cs="Times New Roman"/>
          <w:color w:val="0D0D0D" w:themeColor="text1" w:themeTint="F2"/>
          <w:sz w:val="24"/>
          <w:szCs w:val="24"/>
        </w:rPr>
        <w:t>, p</w:t>
      </w:r>
      <w:r w:rsidRPr="00842FE5">
        <w:rPr>
          <w:rFonts w:ascii="Times New Roman" w:hAnsi="Times New Roman" w:cs="Times New Roman"/>
          <w:color w:val="0D0D0D" w:themeColor="text1" w:themeTint="F2"/>
          <w:sz w:val="24"/>
          <w:szCs w:val="24"/>
        </w:rPr>
        <w:t xml:space="preserve">articipants were requested to complete </w:t>
      </w:r>
      <w:r w:rsidR="00660E81" w:rsidRPr="00842FE5">
        <w:rPr>
          <w:rFonts w:ascii="Times New Roman" w:hAnsi="Times New Roman" w:cs="Times New Roman"/>
          <w:color w:val="0D0D0D" w:themeColor="text1" w:themeTint="F2"/>
          <w:sz w:val="24"/>
          <w:szCs w:val="24"/>
        </w:rPr>
        <w:t xml:space="preserve">the </w:t>
      </w:r>
      <w:r w:rsidRPr="00842FE5">
        <w:rPr>
          <w:rFonts w:ascii="Times New Roman" w:hAnsi="Times New Roman" w:cs="Times New Roman"/>
          <w:color w:val="0D0D0D" w:themeColor="text1" w:themeTint="F2"/>
          <w:sz w:val="24"/>
          <w:szCs w:val="24"/>
        </w:rPr>
        <w:t xml:space="preserve">ITSQ by themselves, </w:t>
      </w:r>
      <w:r w:rsidR="00BA5973">
        <w:rPr>
          <w:rFonts w:ascii="Times New Roman" w:hAnsi="Times New Roman" w:cs="Times New Roman"/>
          <w:color w:val="0D0D0D" w:themeColor="text1" w:themeTint="F2"/>
          <w:sz w:val="24"/>
          <w:szCs w:val="24"/>
        </w:rPr>
        <w:t xml:space="preserve">independently from </w:t>
      </w:r>
      <w:r w:rsidR="00F92F03" w:rsidRPr="00842FE5">
        <w:rPr>
          <w:rFonts w:ascii="Times New Roman" w:hAnsi="Times New Roman" w:cs="Times New Roman"/>
          <w:color w:val="0D0D0D" w:themeColor="text1" w:themeTint="F2"/>
          <w:sz w:val="24"/>
          <w:szCs w:val="24"/>
        </w:rPr>
        <w:t xml:space="preserve">the </w:t>
      </w:r>
      <w:r w:rsidR="00557291" w:rsidRPr="00842FE5">
        <w:rPr>
          <w:rFonts w:ascii="Times New Roman" w:hAnsi="Times New Roman" w:cs="Times New Roman"/>
          <w:color w:val="0D0D0D" w:themeColor="text1" w:themeTint="F2"/>
          <w:sz w:val="24"/>
          <w:szCs w:val="24"/>
        </w:rPr>
        <w:t>i</w:t>
      </w:r>
      <w:r w:rsidRPr="00842FE5">
        <w:rPr>
          <w:rFonts w:ascii="Times New Roman" w:hAnsi="Times New Roman" w:cs="Times New Roman"/>
          <w:color w:val="0D0D0D" w:themeColor="text1" w:themeTint="F2"/>
          <w:sz w:val="24"/>
          <w:szCs w:val="24"/>
        </w:rPr>
        <w:t>nvestigator</w:t>
      </w:r>
      <w:r w:rsidR="0011166E" w:rsidRPr="00842FE5">
        <w:rPr>
          <w:rFonts w:ascii="Times New Roman" w:hAnsi="Times New Roman" w:cs="Times New Roman"/>
          <w:color w:val="0D0D0D" w:themeColor="text1" w:themeTint="F2"/>
          <w:sz w:val="24"/>
          <w:szCs w:val="24"/>
        </w:rPr>
        <w:t xml:space="preserve"> </w:t>
      </w:r>
      <w:r w:rsidRPr="00842FE5">
        <w:rPr>
          <w:rFonts w:ascii="Times New Roman" w:hAnsi="Times New Roman" w:cs="Times New Roman"/>
          <w:color w:val="0D0D0D" w:themeColor="text1" w:themeTint="F2"/>
          <w:sz w:val="24"/>
          <w:szCs w:val="24"/>
        </w:rPr>
        <w:t>or site staff, at specific time points</w:t>
      </w:r>
      <w:r w:rsidR="00134399" w:rsidRPr="00842FE5">
        <w:rPr>
          <w:rFonts w:ascii="Times New Roman" w:hAnsi="Times New Roman" w:cs="Times New Roman"/>
          <w:color w:val="0D0D0D" w:themeColor="text1" w:themeTint="F2"/>
          <w:sz w:val="24"/>
          <w:szCs w:val="24"/>
        </w:rPr>
        <w:t>.</w:t>
      </w:r>
      <w:r w:rsidR="00951CFE" w:rsidRPr="00842FE5">
        <w:rPr>
          <w:rFonts w:ascii="Times New Roman" w:hAnsi="Times New Roman" w:cs="Times New Roman"/>
          <w:color w:val="0D0D0D" w:themeColor="text1" w:themeTint="F2"/>
          <w:sz w:val="24"/>
          <w:szCs w:val="24"/>
        </w:rPr>
        <w:t xml:space="preserve"> </w:t>
      </w:r>
      <w:r w:rsidR="00293D9B" w:rsidRPr="00842FE5">
        <w:rPr>
          <w:rFonts w:ascii="Times New Roman" w:hAnsi="Times New Roman" w:cs="Times New Roman"/>
          <w:color w:val="0D0D0D" w:themeColor="text1" w:themeTint="F2"/>
          <w:sz w:val="24"/>
          <w:szCs w:val="24"/>
        </w:rPr>
        <w:t xml:space="preserve">The sample size </w:t>
      </w:r>
      <w:r w:rsidR="00020DB7" w:rsidRPr="00842FE5">
        <w:rPr>
          <w:rFonts w:ascii="Times New Roman" w:hAnsi="Times New Roman" w:cs="Times New Roman"/>
          <w:color w:val="0D0D0D" w:themeColor="text1" w:themeTint="F2"/>
          <w:sz w:val="24"/>
          <w:szCs w:val="24"/>
        </w:rPr>
        <w:t>was</w:t>
      </w:r>
      <w:r w:rsidR="00293D9B" w:rsidRPr="00842FE5">
        <w:rPr>
          <w:rFonts w:ascii="Times New Roman" w:hAnsi="Times New Roman" w:cs="Times New Roman"/>
          <w:color w:val="0D0D0D" w:themeColor="text1" w:themeTint="F2"/>
          <w:sz w:val="24"/>
          <w:szCs w:val="24"/>
        </w:rPr>
        <w:t xml:space="preserve"> based on the primary objective of assessing the change in HbA</w:t>
      </w:r>
      <w:r w:rsidR="00293D9B" w:rsidRPr="00842FE5">
        <w:rPr>
          <w:rFonts w:ascii="Times New Roman" w:hAnsi="Times New Roman" w:cs="Times New Roman"/>
          <w:color w:val="0D0D0D" w:themeColor="text1" w:themeTint="F2"/>
          <w:sz w:val="24"/>
          <w:szCs w:val="24"/>
          <w:vertAlign w:val="subscript"/>
        </w:rPr>
        <w:t>1c</w:t>
      </w:r>
      <w:r w:rsidR="00293D9B" w:rsidRPr="00842FE5">
        <w:rPr>
          <w:rFonts w:ascii="Times New Roman" w:hAnsi="Times New Roman" w:cs="Times New Roman"/>
          <w:color w:val="0D0D0D" w:themeColor="text1" w:themeTint="F2"/>
          <w:sz w:val="24"/>
          <w:szCs w:val="24"/>
        </w:rPr>
        <w:t xml:space="preserve"> from baseline to Week 26 (calculation based on the </w:t>
      </w:r>
      <w:r w:rsidR="00F92F03" w:rsidRPr="00842FE5">
        <w:rPr>
          <w:rFonts w:ascii="Times New Roman" w:hAnsi="Times New Roman" w:cs="Times New Roman"/>
          <w:color w:val="0D0D0D" w:themeColor="text1" w:themeTint="F2"/>
          <w:sz w:val="24"/>
          <w:szCs w:val="24"/>
        </w:rPr>
        <w:t>two</w:t>
      </w:r>
      <w:r w:rsidR="00293D9B" w:rsidRPr="00842FE5">
        <w:rPr>
          <w:rFonts w:ascii="Times New Roman" w:hAnsi="Times New Roman" w:cs="Times New Roman"/>
          <w:color w:val="0D0D0D" w:themeColor="text1" w:themeTint="F2"/>
          <w:sz w:val="24"/>
          <w:szCs w:val="24"/>
        </w:rPr>
        <w:t xml:space="preserve">-sided 95% </w:t>
      </w:r>
      <w:r w:rsidR="00717E90" w:rsidRPr="00842FE5">
        <w:rPr>
          <w:rFonts w:ascii="Times New Roman" w:hAnsi="Times New Roman" w:cs="Times New Roman"/>
          <w:color w:val="0D0D0D" w:themeColor="text1" w:themeTint="F2"/>
          <w:sz w:val="24"/>
          <w:szCs w:val="24"/>
        </w:rPr>
        <w:t xml:space="preserve">confidence interval </w:t>
      </w:r>
      <w:r w:rsidR="00A75708">
        <w:rPr>
          <w:rFonts w:ascii="Times New Roman" w:hAnsi="Times New Roman" w:cs="Times New Roman"/>
          <w:color w:val="0D0D0D" w:themeColor="text1" w:themeTint="F2"/>
          <w:sz w:val="24"/>
          <w:szCs w:val="24"/>
        </w:rPr>
        <w:t>[</w:t>
      </w:r>
      <w:r w:rsidR="00293D9B" w:rsidRPr="00842FE5">
        <w:rPr>
          <w:rFonts w:ascii="Times New Roman" w:hAnsi="Times New Roman" w:cs="Times New Roman"/>
          <w:color w:val="0D0D0D" w:themeColor="text1" w:themeTint="F2"/>
          <w:sz w:val="24"/>
          <w:szCs w:val="24"/>
        </w:rPr>
        <w:t>CI</w:t>
      </w:r>
      <w:r w:rsidR="00A75708">
        <w:rPr>
          <w:rFonts w:ascii="Times New Roman" w:hAnsi="Times New Roman" w:cs="Times New Roman"/>
          <w:color w:val="0D0D0D" w:themeColor="text1" w:themeTint="F2"/>
          <w:sz w:val="24"/>
          <w:szCs w:val="24"/>
        </w:rPr>
        <w:t>]</w:t>
      </w:r>
      <w:r w:rsidR="00293D9B" w:rsidRPr="00842FE5">
        <w:rPr>
          <w:rFonts w:ascii="Times New Roman" w:hAnsi="Times New Roman" w:cs="Times New Roman"/>
          <w:color w:val="0D0D0D" w:themeColor="text1" w:themeTint="F2"/>
          <w:sz w:val="24"/>
          <w:szCs w:val="24"/>
        </w:rPr>
        <w:t xml:space="preserve"> for the least square</w:t>
      </w:r>
      <w:r w:rsidR="00A75708">
        <w:rPr>
          <w:rFonts w:ascii="Times New Roman" w:hAnsi="Times New Roman" w:cs="Times New Roman"/>
          <w:color w:val="0D0D0D" w:themeColor="text1" w:themeTint="F2"/>
          <w:sz w:val="24"/>
          <w:szCs w:val="24"/>
        </w:rPr>
        <w:t>s</w:t>
      </w:r>
      <w:r w:rsidR="00293D9B" w:rsidRPr="00842FE5">
        <w:rPr>
          <w:rFonts w:ascii="Times New Roman" w:hAnsi="Times New Roman" w:cs="Times New Roman"/>
          <w:color w:val="0D0D0D" w:themeColor="text1" w:themeTint="F2"/>
          <w:sz w:val="24"/>
          <w:szCs w:val="24"/>
        </w:rPr>
        <w:t xml:space="preserve"> </w:t>
      </w:r>
      <w:r w:rsidR="00342F62" w:rsidRPr="00842FE5">
        <w:rPr>
          <w:rFonts w:ascii="Times New Roman" w:hAnsi="Times New Roman" w:cs="Times New Roman"/>
          <w:color w:val="0D0D0D" w:themeColor="text1" w:themeTint="F2"/>
          <w:sz w:val="24"/>
          <w:szCs w:val="24"/>
        </w:rPr>
        <w:t xml:space="preserve">[LS] </w:t>
      </w:r>
      <w:r w:rsidR="00293D9B" w:rsidRPr="00842FE5">
        <w:rPr>
          <w:rFonts w:ascii="Times New Roman" w:hAnsi="Times New Roman" w:cs="Times New Roman"/>
          <w:color w:val="0D0D0D" w:themeColor="text1" w:themeTint="F2"/>
          <w:sz w:val="24"/>
          <w:szCs w:val="24"/>
        </w:rPr>
        <w:t>mean change)</w:t>
      </w:r>
      <w:r w:rsidR="004025F6" w:rsidRPr="00842FE5">
        <w:rPr>
          <w:rFonts w:ascii="Times New Roman" w:hAnsi="Times New Roman" w:cs="Times New Roman"/>
          <w:color w:val="0D0D0D" w:themeColor="text1" w:themeTint="F2"/>
          <w:sz w:val="24"/>
          <w:szCs w:val="24"/>
        </w:rPr>
        <w:t xml:space="preserve">. </w:t>
      </w:r>
      <w:r w:rsidR="00A53E6E" w:rsidRPr="00842FE5">
        <w:rPr>
          <w:rFonts w:ascii="Times New Roman" w:hAnsi="Times New Roman" w:cs="Times New Roman"/>
          <w:color w:val="0D0D0D" w:themeColor="text1" w:themeTint="F2"/>
          <w:sz w:val="24"/>
          <w:szCs w:val="24"/>
        </w:rPr>
        <w:t xml:space="preserve">To reach an absolute precision of 0.11% assuming a </w:t>
      </w:r>
      <w:r w:rsidR="00B150BF" w:rsidRPr="00842FE5">
        <w:rPr>
          <w:rFonts w:ascii="Times New Roman" w:hAnsi="Times New Roman" w:cs="Times New Roman"/>
          <w:color w:val="0D0D0D" w:themeColor="text1" w:themeTint="F2"/>
          <w:sz w:val="24"/>
          <w:szCs w:val="24"/>
        </w:rPr>
        <w:t>standard deviation (</w:t>
      </w:r>
      <w:r w:rsidR="00A53E6E" w:rsidRPr="00842FE5">
        <w:rPr>
          <w:rFonts w:ascii="Times New Roman" w:hAnsi="Times New Roman" w:cs="Times New Roman"/>
          <w:color w:val="0D0D0D" w:themeColor="text1" w:themeTint="F2"/>
          <w:sz w:val="24"/>
          <w:szCs w:val="24"/>
        </w:rPr>
        <w:t>SD</w:t>
      </w:r>
      <w:r w:rsidR="00B150BF" w:rsidRPr="00842FE5">
        <w:rPr>
          <w:rFonts w:ascii="Times New Roman" w:hAnsi="Times New Roman" w:cs="Times New Roman"/>
          <w:color w:val="0D0D0D" w:themeColor="text1" w:themeTint="F2"/>
          <w:sz w:val="24"/>
          <w:szCs w:val="24"/>
        </w:rPr>
        <w:t>)</w:t>
      </w:r>
      <w:r w:rsidR="00A53E6E" w:rsidRPr="00842FE5">
        <w:rPr>
          <w:rFonts w:ascii="Times New Roman" w:hAnsi="Times New Roman" w:cs="Times New Roman"/>
          <w:color w:val="0D0D0D" w:themeColor="text1" w:themeTint="F2"/>
          <w:sz w:val="24"/>
          <w:szCs w:val="24"/>
        </w:rPr>
        <w:t xml:space="preserve"> of 1.1 for the change from baseline in HbA</w:t>
      </w:r>
      <w:r w:rsidR="00A53E6E" w:rsidRPr="00842FE5">
        <w:rPr>
          <w:rFonts w:ascii="Times New Roman" w:hAnsi="Times New Roman" w:cs="Times New Roman"/>
          <w:color w:val="0D0D0D" w:themeColor="text1" w:themeTint="F2"/>
          <w:sz w:val="24"/>
          <w:szCs w:val="24"/>
          <w:vertAlign w:val="subscript"/>
        </w:rPr>
        <w:t>1c</w:t>
      </w:r>
      <w:r w:rsidR="00A53E6E" w:rsidRPr="00842FE5">
        <w:rPr>
          <w:rFonts w:ascii="Times New Roman" w:hAnsi="Times New Roman" w:cs="Times New Roman"/>
          <w:color w:val="0D0D0D" w:themeColor="text1" w:themeTint="F2"/>
          <w:sz w:val="24"/>
          <w:szCs w:val="24"/>
        </w:rPr>
        <w:t>, 385 evaluable participants</w:t>
      </w:r>
      <w:r w:rsidR="00612670" w:rsidRPr="00842FE5">
        <w:rPr>
          <w:rFonts w:ascii="Times New Roman" w:hAnsi="Times New Roman" w:cs="Times New Roman"/>
          <w:color w:val="0D0D0D" w:themeColor="text1" w:themeTint="F2"/>
          <w:sz w:val="24"/>
          <w:szCs w:val="24"/>
        </w:rPr>
        <w:t xml:space="preserve"> were </w:t>
      </w:r>
      <w:r w:rsidR="00A53E6E" w:rsidRPr="00842FE5">
        <w:rPr>
          <w:rFonts w:ascii="Times New Roman" w:hAnsi="Times New Roman" w:cs="Times New Roman"/>
          <w:color w:val="0D0D0D" w:themeColor="text1" w:themeTint="F2"/>
          <w:sz w:val="24"/>
          <w:szCs w:val="24"/>
        </w:rPr>
        <w:t>needed</w:t>
      </w:r>
      <w:r w:rsidR="004025F6" w:rsidRPr="00842FE5">
        <w:rPr>
          <w:rFonts w:ascii="Times New Roman" w:hAnsi="Times New Roman" w:cs="Times New Roman"/>
          <w:color w:val="0D0D0D" w:themeColor="text1" w:themeTint="F2"/>
          <w:sz w:val="24"/>
          <w:szCs w:val="24"/>
        </w:rPr>
        <w:t xml:space="preserve">. </w:t>
      </w:r>
      <w:r w:rsidR="00A53E6E" w:rsidRPr="00842FE5">
        <w:rPr>
          <w:rFonts w:ascii="Times New Roman" w:hAnsi="Times New Roman" w:cs="Times New Roman"/>
          <w:color w:val="0D0D0D" w:themeColor="text1" w:themeTint="F2"/>
          <w:sz w:val="24"/>
          <w:szCs w:val="24"/>
        </w:rPr>
        <w:t xml:space="preserve">An absolute precision of 0.11% corresponds to a relative precision of </w:t>
      </w:r>
      <w:r w:rsidR="008D7688" w:rsidRPr="00842FE5">
        <w:rPr>
          <w:rFonts w:ascii="Times New Roman" w:hAnsi="Times New Roman" w:cs="Times New Roman"/>
          <w:color w:val="0D0D0D" w:themeColor="text1" w:themeTint="F2"/>
          <w:sz w:val="24"/>
          <w:szCs w:val="24"/>
        </w:rPr>
        <w:t xml:space="preserve">approximately </w:t>
      </w:r>
      <w:r w:rsidR="00A53E6E" w:rsidRPr="00842FE5">
        <w:rPr>
          <w:rFonts w:ascii="Times New Roman" w:hAnsi="Times New Roman" w:cs="Times New Roman"/>
          <w:color w:val="0D0D0D" w:themeColor="text1" w:themeTint="F2"/>
          <w:sz w:val="24"/>
          <w:szCs w:val="24"/>
        </w:rPr>
        <w:t>20% (</w:t>
      </w:r>
      <w:r w:rsidR="00DF1732" w:rsidRPr="00842FE5">
        <w:rPr>
          <w:rFonts w:ascii="Times New Roman" w:hAnsi="Times New Roman" w:cs="Times New Roman"/>
          <w:color w:val="0D0D0D" w:themeColor="text1" w:themeTint="F2"/>
          <w:sz w:val="24"/>
          <w:szCs w:val="24"/>
        </w:rPr>
        <w:t>i.e.</w:t>
      </w:r>
      <w:r w:rsidR="009A7F19">
        <w:rPr>
          <w:rFonts w:ascii="Times New Roman" w:hAnsi="Times New Roman" w:cs="Times New Roman"/>
          <w:color w:val="0D0D0D" w:themeColor="text1" w:themeTint="F2"/>
          <w:sz w:val="24"/>
          <w:szCs w:val="24"/>
        </w:rPr>
        <w:t>,</w:t>
      </w:r>
      <w:r w:rsidR="00DF1732" w:rsidRPr="00842FE5">
        <w:rPr>
          <w:rFonts w:ascii="Times New Roman" w:hAnsi="Times New Roman" w:cs="Times New Roman"/>
          <w:color w:val="0D0D0D" w:themeColor="text1" w:themeTint="F2"/>
          <w:sz w:val="24"/>
          <w:szCs w:val="24"/>
        </w:rPr>
        <w:t xml:space="preserve"> </w:t>
      </w:r>
      <w:r w:rsidR="00A53E6E" w:rsidRPr="00842FE5">
        <w:rPr>
          <w:rFonts w:ascii="Times New Roman" w:hAnsi="Times New Roman" w:cs="Times New Roman"/>
          <w:color w:val="0D0D0D" w:themeColor="text1" w:themeTint="F2"/>
          <w:sz w:val="24"/>
          <w:szCs w:val="24"/>
        </w:rPr>
        <w:t>for a mean HbA</w:t>
      </w:r>
      <w:r w:rsidR="00A53E6E" w:rsidRPr="00842FE5">
        <w:rPr>
          <w:rFonts w:ascii="Times New Roman" w:hAnsi="Times New Roman" w:cs="Times New Roman"/>
          <w:color w:val="0D0D0D" w:themeColor="text1" w:themeTint="F2"/>
          <w:sz w:val="24"/>
          <w:szCs w:val="24"/>
          <w:vertAlign w:val="subscript"/>
        </w:rPr>
        <w:t>1c</w:t>
      </w:r>
      <w:r w:rsidR="00A53E6E" w:rsidRPr="00842FE5">
        <w:rPr>
          <w:rFonts w:ascii="Times New Roman" w:hAnsi="Times New Roman" w:cs="Times New Roman"/>
          <w:color w:val="0D0D0D" w:themeColor="text1" w:themeTint="F2"/>
          <w:sz w:val="24"/>
          <w:szCs w:val="24"/>
        </w:rPr>
        <w:t xml:space="preserve"> change from baseline of </w:t>
      </w:r>
      <w:r w:rsidR="00962162" w:rsidRPr="00842FE5">
        <w:rPr>
          <w:rFonts w:ascii="Times New Roman" w:hAnsi="Times New Roman" w:cs="Times New Roman"/>
          <w:color w:val="0D0D0D" w:themeColor="text1" w:themeTint="F2"/>
          <w:sz w:val="24"/>
          <w:szCs w:val="24"/>
        </w:rPr>
        <w:t>−</w:t>
      </w:r>
      <w:r w:rsidR="00A53E6E" w:rsidRPr="00842FE5">
        <w:rPr>
          <w:rFonts w:ascii="Times New Roman" w:hAnsi="Times New Roman" w:cs="Times New Roman"/>
          <w:color w:val="0D0D0D" w:themeColor="text1" w:themeTint="F2"/>
          <w:sz w:val="24"/>
          <w:szCs w:val="24"/>
        </w:rPr>
        <w:t xml:space="preserve">0.5%: relative precision of 22%; for a change from baseline of </w:t>
      </w:r>
      <w:r w:rsidR="00DF1732" w:rsidRPr="00842FE5">
        <w:rPr>
          <w:rFonts w:ascii="Times New Roman" w:hAnsi="Times New Roman" w:cs="Times New Roman"/>
          <w:color w:val="0D0D0D" w:themeColor="text1" w:themeTint="F2"/>
          <w:sz w:val="24"/>
          <w:szCs w:val="24"/>
        </w:rPr>
        <w:t>−</w:t>
      </w:r>
      <w:r w:rsidR="00A53E6E" w:rsidRPr="00842FE5">
        <w:rPr>
          <w:rFonts w:ascii="Times New Roman" w:hAnsi="Times New Roman" w:cs="Times New Roman"/>
          <w:color w:val="0D0D0D" w:themeColor="text1" w:themeTint="F2"/>
          <w:sz w:val="24"/>
          <w:szCs w:val="24"/>
        </w:rPr>
        <w:t>0.6%: relative precision of 18%)</w:t>
      </w:r>
      <w:r w:rsidR="004025F6" w:rsidRPr="00842FE5">
        <w:rPr>
          <w:rFonts w:ascii="Times New Roman" w:hAnsi="Times New Roman" w:cs="Times New Roman"/>
          <w:color w:val="0D0D0D" w:themeColor="text1" w:themeTint="F2"/>
          <w:sz w:val="24"/>
          <w:szCs w:val="24"/>
        </w:rPr>
        <w:t>.</w:t>
      </w:r>
      <w:r w:rsidR="005B2C2E" w:rsidRPr="00842FE5">
        <w:rPr>
          <w:rFonts w:ascii="Times New Roman" w:hAnsi="Times New Roman" w:cs="Times New Roman"/>
          <w:color w:val="0D0D0D" w:themeColor="text1" w:themeTint="F2"/>
          <w:sz w:val="24"/>
          <w:szCs w:val="24"/>
        </w:rPr>
        <w:t xml:space="preserve"> </w:t>
      </w:r>
      <w:r w:rsidR="00DC7475" w:rsidRPr="00BC5F5A">
        <w:rPr>
          <w:rFonts w:ascii="Times New Roman" w:hAnsi="Times New Roman" w:cs="Times New Roman"/>
          <w:color w:val="0D0D0D" w:themeColor="text1" w:themeTint="F2"/>
          <w:sz w:val="24"/>
          <w:szCs w:val="24"/>
        </w:rPr>
        <w:t>D</w:t>
      </w:r>
      <w:r w:rsidR="00E91D75" w:rsidRPr="00BC5F5A">
        <w:rPr>
          <w:rFonts w:ascii="Times New Roman" w:hAnsi="Times New Roman" w:cs="Times New Roman"/>
          <w:color w:val="0D0D0D" w:themeColor="text1" w:themeTint="F2"/>
          <w:sz w:val="24"/>
          <w:szCs w:val="24"/>
        </w:rPr>
        <w:t xml:space="preserve">escriptive </w:t>
      </w:r>
      <w:r w:rsidR="000723F8" w:rsidRPr="00BC5F5A">
        <w:rPr>
          <w:rFonts w:ascii="Times New Roman" w:hAnsi="Times New Roman" w:cs="Times New Roman"/>
          <w:color w:val="0D0D0D" w:themeColor="text1" w:themeTint="F2"/>
          <w:sz w:val="24"/>
          <w:szCs w:val="24"/>
        </w:rPr>
        <w:t xml:space="preserve">statistics </w:t>
      </w:r>
      <w:r w:rsidR="00E91D75" w:rsidRPr="00BC5F5A">
        <w:rPr>
          <w:rFonts w:ascii="Times New Roman" w:hAnsi="Times New Roman" w:cs="Times New Roman"/>
          <w:color w:val="0D0D0D" w:themeColor="text1" w:themeTint="F2"/>
          <w:sz w:val="24"/>
          <w:szCs w:val="24"/>
        </w:rPr>
        <w:t>w</w:t>
      </w:r>
      <w:r w:rsidR="00DC7475" w:rsidRPr="00BC5F5A">
        <w:rPr>
          <w:rFonts w:ascii="Times New Roman" w:hAnsi="Times New Roman" w:cs="Times New Roman"/>
          <w:color w:val="0D0D0D" w:themeColor="text1" w:themeTint="F2"/>
          <w:sz w:val="24"/>
          <w:szCs w:val="24"/>
        </w:rPr>
        <w:t>ere</w:t>
      </w:r>
      <w:r w:rsidR="00E91D75" w:rsidRPr="00BC5F5A">
        <w:rPr>
          <w:rFonts w:ascii="Times New Roman" w:hAnsi="Times New Roman" w:cs="Times New Roman"/>
          <w:color w:val="0D0D0D" w:themeColor="text1" w:themeTint="F2"/>
          <w:sz w:val="24"/>
          <w:szCs w:val="24"/>
        </w:rPr>
        <w:t xml:space="preserve"> </w:t>
      </w:r>
      <w:r w:rsidR="00DC7475" w:rsidRPr="00BC5F5A">
        <w:rPr>
          <w:rFonts w:ascii="Times New Roman" w:hAnsi="Times New Roman" w:cs="Times New Roman"/>
          <w:color w:val="0D0D0D" w:themeColor="text1" w:themeTint="F2"/>
          <w:sz w:val="24"/>
          <w:szCs w:val="24"/>
        </w:rPr>
        <w:t xml:space="preserve">used </w:t>
      </w:r>
      <w:r w:rsidR="00DA50CB" w:rsidRPr="00BC5F5A">
        <w:rPr>
          <w:rFonts w:ascii="Times New Roman" w:hAnsi="Times New Roman" w:cs="Times New Roman"/>
          <w:color w:val="0D0D0D" w:themeColor="text1" w:themeTint="F2"/>
          <w:sz w:val="24"/>
          <w:szCs w:val="24"/>
        </w:rPr>
        <w:t>to analyse</w:t>
      </w:r>
      <w:r w:rsidR="00DC7475" w:rsidRPr="00BC5F5A">
        <w:rPr>
          <w:rFonts w:ascii="Times New Roman" w:hAnsi="Times New Roman" w:cs="Times New Roman"/>
          <w:color w:val="0D0D0D" w:themeColor="text1" w:themeTint="F2"/>
          <w:sz w:val="24"/>
          <w:szCs w:val="24"/>
        </w:rPr>
        <w:t xml:space="preserve"> </w:t>
      </w:r>
      <w:r w:rsidR="00AE710E" w:rsidRPr="00BC5F5A">
        <w:rPr>
          <w:rFonts w:ascii="Times New Roman" w:hAnsi="Times New Roman" w:cs="Times New Roman"/>
          <w:color w:val="0D0D0D" w:themeColor="text1" w:themeTint="F2"/>
          <w:sz w:val="24"/>
          <w:szCs w:val="24"/>
        </w:rPr>
        <w:t xml:space="preserve">primary and secondary endpoints. </w:t>
      </w:r>
      <w:r w:rsidR="005B2C2E" w:rsidRPr="00BC5F5A">
        <w:rPr>
          <w:rFonts w:ascii="Times New Roman" w:hAnsi="Times New Roman" w:cs="Times New Roman"/>
          <w:color w:val="0D0D0D" w:themeColor="text1" w:themeTint="F2"/>
          <w:sz w:val="24"/>
          <w:szCs w:val="24"/>
        </w:rPr>
        <w:t xml:space="preserve">The </w:t>
      </w:r>
      <w:r w:rsidR="00AC1815" w:rsidRPr="00BC5F5A">
        <w:rPr>
          <w:rFonts w:ascii="Times New Roman" w:hAnsi="Times New Roman" w:cs="Times New Roman"/>
          <w:color w:val="0D0D0D" w:themeColor="text1" w:themeTint="F2"/>
          <w:sz w:val="24"/>
          <w:szCs w:val="24"/>
        </w:rPr>
        <w:t xml:space="preserve">LS mean </w:t>
      </w:r>
      <w:r w:rsidR="005B2C2E" w:rsidRPr="00BC5F5A">
        <w:rPr>
          <w:rFonts w:ascii="Times New Roman" w:hAnsi="Times New Roman" w:cs="Times New Roman"/>
          <w:color w:val="0D0D0D" w:themeColor="text1" w:themeTint="F2"/>
          <w:sz w:val="24"/>
          <w:szCs w:val="24"/>
        </w:rPr>
        <w:t>change</w:t>
      </w:r>
      <w:r w:rsidR="001A5532" w:rsidRPr="00BC5F5A">
        <w:rPr>
          <w:rFonts w:ascii="Times New Roman" w:hAnsi="Times New Roman" w:cs="Times New Roman"/>
          <w:color w:val="0D0D0D" w:themeColor="text1" w:themeTint="F2"/>
          <w:sz w:val="24"/>
          <w:szCs w:val="24"/>
        </w:rPr>
        <w:t xml:space="preserve"> from baseline</w:t>
      </w:r>
      <w:r w:rsidR="00AC1815" w:rsidRPr="00BC5F5A">
        <w:rPr>
          <w:rFonts w:ascii="Times New Roman" w:hAnsi="Times New Roman" w:cs="Times New Roman"/>
          <w:color w:val="0D0D0D" w:themeColor="text1" w:themeTint="F2"/>
          <w:sz w:val="24"/>
          <w:szCs w:val="24"/>
        </w:rPr>
        <w:t xml:space="preserve"> with 95% CI</w:t>
      </w:r>
      <w:r w:rsidR="005B2C2E" w:rsidRPr="00BC5F5A">
        <w:rPr>
          <w:rFonts w:ascii="Times New Roman" w:hAnsi="Times New Roman" w:cs="Times New Roman"/>
          <w:color w:val="0D0D0D" w:themeColor="text1" w:themeTint="F2"/>
          <w:sz w:val="24"/>
          <w:szCs w:val="24"/>
        </w:rPr>
        <w:t xml:space="preserve"> </w:t>
      </w:r>
      <w:r w:rsidR="001A5532" w:rsidRPr="00BC5F5A">
        <w:rPr>
          <w:rFonts w:ascii="Times New Roman" w:hAnsi="Times New Roman" w:cs="Times New Roman"/>
          <w:color w:val="0D0D0D" w:themeColor="text1" w:themeTint="F2"/>
          <w:sz w:val="24"/>
          <w:szCs w:val="24"/>
        </w:rPr>
        <w:t>in</w:t>
      </w:r>
      <w:r w:rsidR="00983B4C" w:rsidRPr="00BC5F5A">
        <w:rPr>
          <w:rFonts w:ascii="Times New Roman" w:hAnsi="Times New Roman" w:cs="Times New Roman"/>
          <w:color w:val="0D0D0D" w:themeColor="text1" w:themeTint="F2"/>
          <w:sz w:val="24"/>
          <w:szCs w:val="24"/>
        </w:rPr>
        <w:t xml:space="preserve"> </w:t>
      </w:r>
      <w:r w:rsidR="005B2C2E" w:rsidRPr="00BC5F5A">
        <w:rPr>
          <w:rFonts w:ascii="Times New Roman" w:hAnsi="Times New Roman" w:cs="Times New Roman"/>
          <w:color w:val="0D0D0D" w:themeColor="text1" w:themeTint="F2"/>
          <w:sz w:val="24"/>
          <w:szCs w:val="24"/>
        </w:rPr>
        <w:t>HbA</w:t>
      </w:r>
      <w:r w:rsidR="005B2C2E" w:rsidRPr="00BC5F5A">
        <w:rPr>
          <w:rFonts w:ascii="Times New Roman" w:hAnsi="Times New Roman" w:cs="Times New Roman"/>
          <w:color w:val="0D0D0D" w:themeColor="text1" w:themeTint="F2"/>
          <w:sz w:val="24"/>
          <w:szCs w:val="24"/>
          <w:vertAlign w:val="subscript"/>
        </w:rPr>
        <w:t>1c</w:t>
      </w:r>
      <w:r w:rsidR="000D1890" w:rsidRPr="00BC5F5A">
        <w:rPr>
          <w:rFonts w:ascii="Times New Roman" w:hAnsi="Times New Roman" w:cs="Times New Roman"/>
          <w:color w:val="0D0D0D" w:themeColor="text1" w:themeTint="F2"/>
          <w:sz w:val="24"/>
          <w:szCs w:val="24"/>
          <w:vertAlign w:val="subscript"/>
        </w:rPr>
        <w:t xml:space="preserve">, </w:t>
      </w:r>
      <w:r w:rsidR="000D1890" w:rsidRPr="00BC5F5A">
        <w:rPr>
          <w:rFonts w:ascii="Times New Roman" w:hAnsi="Times New Roman" w:cs="Times New Roman"/>
          <w:color w:val="0D0D0D" w:themeColor="text1" w:themeTint="F2"/>
          <w:sz w:val="24"/>
          <w:szCs w:val="24"/>
        </w:rPr>
        <w:t xml:space="preserve">FPG, </w:t>
      </w:r>
      <w:r w:rsidR="002B3987" w:rsidRPr="00BC5F5A">
        <w:rPr>
          <w:rFonts w:ascii="Times New Roman" w:hAnsi="Times New Roman" w:cs="Times New Roman"/>
          <w:color w:val="0D0D0D" w:themeColor="text1" w:themeTint="F2"/>
          <w:sz w:val="24"/>
          <w:szCs w:val="24"/>
        </w:rPr>
        <w:t xml:space="preserve">and </w:t>
      </w:r>
      <w:r w:rsidR="000D1890" w:rsidRPr="00BC5F5A">
        <w:rPr>
          <w:rFonts w:ascii="Times New Roman" w:hAnsi="Times New Roman" w:cs="Times New Roman"/>
          <w:color w:val="0D0D0D" w:themeColor="text1" w:themeTint="F2"/>
          <w:sz w:val="24"/>
          <w:szCs w:val="24"/>
        </w:rPr>
        <w:t>fasting SMPG</w:t>
      </w:r>
      <w:r w:rsidR="005B2C2E" w:rsidRPr="00BC5F5A">
        <w:rPr>
          <w:rFonts w:ascii="Times New Roman" w:hAnsi="Times New Roman" w:cs="Times New Roman"/>
          <w:color w:val="0D0D0D" w:themeColor="text1" w:themeTint="F2"/>
          <w:sz w:val="24"/>
          <w:szCs w:val="24"/>
        </w:rPr>
        <w:t xml:space="preserve"> </w:t>
      </w:r>
      <w:r w:rsidR="00AD136F" w:rsidRPr="00BC5F5A">
        <w:rPr>
          <w:rFonts w:ascii="Times New Roman" w:hAnsi="Times New Roman" w:cs="Times New Roman"/>
          <w:color w:val="0D0D0D" w:themeColor="text1" w:themeTint="F2"/>
          <w:sz w:val="24"/>
          <w:szCs w:val="24"/>
        </w:rPr>
        <w:t xml:space="preserve">were </w:t>
      </w:r>
      <w:r w:rsidR="005B2C2E" w:rsidRPr="00BC5F5A">
        <w:rPr>
          <w:rFonts w:ascii="Times New Roman" w:hAnsi="Times New Roman" w:cs="Times New Roman"/>
          <w:color w:val="0D0D0D" w:themeColor="text1" w:themeTint="F2"/>
          <w:sz w:val="24"/>
          <w:szCs w:val="24"/>
        </w:rPr>
        <w:t xml:space="preserve">analysed using a mixed effect linear model with repeated measures approach </w:t>
      </w:r>
      <w:r w:rsidR="005615C7" w:rsidRPr="00BC5F5A">
        <w:rPr>
          <w:rFonts w:ascii="Times New Roman" w:hAnsi="Times New Roman" w:cs="Times New Roman"/>
          <w:color w:val="0D0D0D" w:themeColor="text1" w:themeTint="F2"/>
          <w:sz w:val="24"/>
          <w:szCs w:val="24"/>
        </w:rPr>
        <w:t xml:space="preserve">in </w:t>
      </w:r>
      <w:r w:rsidR="00125CBA" w:rsidRPr="00BC5F5A">
        <w:rPr>
          <w:rFonts w:ascii="Times New Roman" w:hAnsi="Times New Roman" w:cs="Times New Roman"/>
          <w:color w:val="0D0D0D" w:themeColor="text1" w:themeTint="F2"/>
          <w:sz w:val="24"/>
          <w:szCs w:val="24"/>
        </w:rPr>
        <w:t xml:space="preserve">the </w:t>
      </w:r>
      <w:r w:rsidR="005F021A" w:rsidRPr="00BC5F5A">
        <w:rPr>
          <w:rFonts w:ascii="Times New Roman" w:hAnsi="Times New Roman" w:cs="Times New Roman"/>
          <w:color w:val="0D0D0D" w:themeColor="text1" w:themeTint="F2"/>
          <w:sz w:val="24"/>
          <w:szCs w:val="24"/>
        </w:rPr>
        <w:t xml:space="preserve">evaluable population including all eligible participants with a baseline and </w:t>
      </w:r>
      <w:r w:rsidR="00A1073D" w:rsidRPr="00BC5F5A">
        <w:rPr>
          <w:rFonts w:ascii="Times New Roman" w:hAnsi="Times New Roman" w:cs="Times New Roman"/>
          <w:color w:val="0D0D0D" w:themeColor="text1" w:themeTint="F2"/>
          <w:sz w:val="24"/>
          <w:szCs w:val="24"/>
        </w:rPr>
        <w:t xml:space="preserve">≥1 post-baseline </w:t>
      </w:r>
      <w:r w:rsidR="0095249D" w:rsidRPr="00BC5F5A">
        <w:rPr>
          <w:rFonts w:ascii="Times New Roman" w:hAnsi="Times New Roman" w:cs="Times New Roman"/>
          <w:color w:val="0D0D0D" w:themeColor="text1" w:themeTint="F2"/>
          <w:sz w:val="24"/>
          <w:szCs w:val="24"/>
        </w:rPr>
        <w:t>value</w:t>
      </w:r>
      <w:r w:rsidR="00917B9F" w:rsidRPr="00BC5F5A">
        <w:rPr>
          <w:rFonts w:ascii="Times New Roman" w:hAnsi="Times New Roman" w:cs="Times New Roman"/>
          <w:color w:val="0D0D0D" w:themeColor="text1" w:themeTint="F2"/>
          <w:sz w:val="24"/>
          <w:szCs w:val="24"/>
        </w:rPr>
        <w:t xml:space="preserve"> for the respective parameter</w:t>
      </w:r>
      <w:r w:rsidR="00B5025C" w:rsidRPr="00BC5F5A">
        <w:rPr>
          <w:rFonts w:ascii="Times New Roman" w:hAnsi="Times New Roman" w:cs="Times New Roman"/>
          <w:color w:val="0D0D0D" w:themeColor="text1" w:themeTint="F2"/>
          <w:sz w:val="24"/>
          <w:szCs w:val="24"/>
        </w:rPr>
        <w:t>s</w:t>
      </w:r>
      <w:r w:rsidR="0095249D" w:rsidRPr="00BC5F5A">
        <w:rPr>
          <w:rFonts w:ascii="Times New Roman" w:hAnsi="Times New Roman" w:cs="Times New Roman"/>
          <w:color w:val="0D0D0D" w:themeColor="text1" w:themeTint="F2"/>
          <w:sz w:val="24"/>
          <w:szCs w:val="24"/>
        </w:rPr>
        <w:t xml:space="preserve">. </w:t>
      </w:r>
      <w:r w:rsidR="007A0FF5" w:rsidRPr="00BC5F5A">
        <w:rPr>
          <w:rFonts w:ascii="Times New Roman" w:hAnsi="Times New Roman" w:cs="Times New Roman"/>
          <w:color w:val="0D0D0D" w:themeColor="text1" w:themeTint="F2"/>
          <w:sz w:val="24"/>
          <w:szCs w:val="24"/>
        </w:rPr>
        <w:t>Changes in b</w:t>
      </w:r>
      <w:r w:rsidR="002D48DF" w:rsidRPr="00BC5F5A">
        <w:rPr>
          <w:rFonts w:ascii="Times New Roman" w:hAnsi="Times New Roman" w:cs="Times New Roman"/>
          <w:color w:val="0D0D0D" w:themeColor="text1" w:themeTint="F2"/>
          <w:sz w:val="24"/>
          <w:szCs w:val="24"/>
        </w:rPr>
        <w:t>ody weight</w:t>
      </w:r>
      <w:r w:rsidR="000F2B68" w:rsidRPr="00BC5F5A">
        <w:rPr>
          <w:rFonts w:ascii="Times New Roman" w:hAnsi="Times New Roman" w:cs="Times New Roman"/>
          <w:color w:val="0D0D0D" w:themeColor="text1" w:themeTint="F2"/>
          <w:sz w:val="24"/>
          <w:szCs w:val="24"/>
        </w:rPr>
        <w:t>,</w:t>
      </w:r>
      <w:r w:rsidR="002D48DF" w:rsidRPr="00BC5F5A">
        <w:rPr>
          <w:rFonts w:ascii="Times New Roman" w:hAnsi="Times New Roman" w:cs="Times New Roman"/>
          <w:color w:val="0D0D0D" w:themeColor="text1" w:themeTint="F2"/>
          <w:sz w:val="24"/>
          <w:szCs w:val="24"/>
        </w:rPr>
        <w:t xml:space="preserve"> insulin dose</w:t>
      </w:r>
      <w:r w:rsidR="008C2C96" w:rsidRPr="00BC5F5A">
        <w:rPr>
          <w:rFonts w:ascii="Times New Roman" w:hAnsi="Times New Roman" w:cs="Times New Roman"/>
          <w:color w:val="0D0D0D" w:themeColor="text1" w:themeTint="F2"/>
          <w:sz w:val="24"/>
          <w:szCs w:val="24"/>
        </w:rPr>
        <w:t xml:space="preserve"> and</w:t>
      </w:r>
      <w:r w:rsidR="002D48DF" w:rsidRPr="00BC5F5A">
        <w:rPr>
          <w:rFonts w:ascii="Times New Roman" w:hAnsi="Times New Roman" w:cs="Times New Roman"/>
          <w:color w:val="0D0D0D" w:themeColor="text1" w:themeTint="F2"/>
          <w:sz w:val="24"/>
          <w:szCs w:val="24"/>
        </w:rPr>
        <w:t xml:space="preserve"> </w:t>
      </w:r>
      <w:r w:rsidR="008C2C96" w:rsidRPr="00BC5F5A">
        <w:rPr>
          <w:rFonts w:ascii="Times New Roman" w:hAnsi="Times New Roman" w:cs="Times New Roman"/>
          <w:color w:val="0D0D0D" w:themeColor="text1" w:themeTint="F2"/>
          <w:sz w:val="24"/>
          <w:szCs w:val="24"/>
        </w:rPr>
        <w:t>s</w:t>
      </w:r>
      <w:r w:rsidR="005F0BB3" w:rsidRPr="00BC5F5A">
        <w:rPr>
          <w:rFonts w:ascii="Times New Roman" w:hAnsi="Times New Roman" w:cs="Times New Roman"/>
          <w:color w:val="0D0D0D" w:themeColor="text1" w:themeTint="F2"/>
          <w:sz w:val="24"/>
          <w:szCs w:val="24"/>
        </w:rPr>
        <w:t xml:space="preserve">afety </w:t>
      </w:r>
      <w:r w:rsidR="008C2C96" w:rsidRPr="00BC5F5A">
        <w:rPr>
          <w:rFonts w:ascii="Times New Roman" w:hAnsi="Times New Roman" w:cs="Times New Roman"/>
          <w:color w:val="0D0D0D" w:themeColor="text1" w:themeTint="F2"/>
          <w:sz w:val="24"/>
          <w:szCs w:val="24"/>
        </w:rPr>
        <w:t xml:space="preserve">were </w:t>
      </w:r>
      <w:r w:rsidR="005F0BB3" w:rsidRPr="00BC5F5A">
        <w:rPr>
          <w:rFonts w:ascii="Times New Roman" w:hAnsi="Times New Roman" w:cs="Times New Roman"/>
          <w:color w:val="0D0D0D" w:themeColor="text1" w:themeTint="F2"/>
          <w:sz w:val="24"/>
          <w:szCs w:val="24"/>
        </w:rPr>
        <w:t xml:space="preserve">analysed in the safety </w:t>
      </w:r>
      <w:r w:rsidR="005F0BB3" w:rsidRPr="00EA2630">
        <w:rPr>
          <w:rFonts w:ascii="Times New Roman" w:hAnsi="Times New Roman" w:cs="Times New Roman"/>
          <w:color w:val="0D0D0D" w:themeColor="text1" w:themeTint="F2"/>
          <w:sz w:val="24"/>
          <w:szCs w:val="24"/>
        </w:rPr>
        <w:lastRenderedPageBreak/>
        <w:t>population including all eligible participants</w:t>
      </w:r>
      <w:r w:rsidR="00DD4219" w:rsidRPr="00EA2630">
        <w:rPr>
          <w:rFonts w:ascii="Times New Roman" w:hAnsi="Times New Roman" w:cs="Times New Roman"/>
          <w:color w:val="0D0D0D" w:themeColor="text1" w:themeTint="F2"/>
          <w:sz w:val="24"/>
          <w:szCs w:val="24"/>
        </w:rPr>
        <w:t xml:space="preserve"> assigned to study intervention and</w:t>
      </w:r>
      <w:r w:rsidR="005F0BB3" w:rsidRPr="00EA2630">
        <w:rPr>
          <w:rFonts w:ascii="Times New Roman" w:hAnsi="Times New Roman" w:cs="Times New Roman"/>
          <w:color w:val="0D0D0D" w:themeColor="text1" w:themeTint="F2"/>
          <w:sz w:val="24"/>
          <w:szCs w:val="24"/>
        </w:rPr>
        <w:t xml:space="preserve"> who received </w:t>
      </w:r>
      <w:r w:rsidR="00AA427E" w:rsidRPr="00EA2630">
        <w:rPr>
          <w:rFonts w:ascii="Times New Roman" w:hAnsi="Times New Roman" w:cs="Times New Roman"/>
          <w:color w:val="0D0D0D" w:themeColor="text1" w:themeTint="F2"/>
          <w:sz w:val="24"/>
          <w:szCs w:val="24"/>
        </w:rPr>
        <w:t xml:space="preserve">≥1 dose of the study drug and </w:t>
      </w:r>
      <w:r w:rsidR="001529A6" w:rsidRPr="00EA2630">
        <w:rPr>
          <w:rFonts w:ascii="Times New Roman" w:hAnsi="Times New Roman" w:cs="Times New Roman"/>
          <w:color w:val="0D0D0D" w:themeColor="text1" w:themeTint="F2"/>
          <w:sz w:val="24"/>
          <w:szCs w:val="24"/>
        </w:rPr>
        <w:t>results were summarised descriptively.</w:t>
      </w:r>
      <w:r w:rsidR="00030725" w:rsidRPr="00842FE5">
        <w:rPr>
          <w:rFonts w:ascii="Times New Roman" w:hAnsi="Times New Roman" w:cs="Times New Roman"/>
          <w:color w:val="0D0D0D" w:themeColor="text1" w:themeTint="F2"/>
          <w:sz w:val="24"/>
          <w:szCs w:val="24"/>
        </w:rPr>
        <w:t xml:space="preserve"> </w:t>
      </w:r>
    </w:p>
    <w:p w14:paraId="42F5114D" w14:textId="2D4D7BCE" w:rsidR="00D26DD9" w:rsidRPr="00842FE5" w:rsidRDefault="00D26DD9" w:rsidP="003858C4">
      <w:pPr>
        <w:pStyle w:val="ListParagraph"/>
        <w:tabs>
          <w:tab w:val="left" w:pos="3441"/>
        </w:tabs>
        <w:spacing w:line="480" w:lineRule="auto"/>
        <w:ind w:left="0"/>
        <w:rPr>
          <w:rFonts w:ascii="Times New Roman" w:hAnsi="Times New Roman" w:cs="Times New Roman"/>
          <w:color w:val="0D0D0D" w:themeColor="text1" w:themeTint="F2"/>
          <w:sz w:val="24"/>
          <w:szCs w:val="24"/>
        </w:rPr>
      </w:pPr>
      <w:r w:rsidRPr="00842FE5">
        <w:rPr>
          <w:rFonts w:ascii="Times New Roman" w:hAnsi="Times New Roman" w:cs="Times New Roman"/>
          <w:b/>
          <w:bCs/>
          <w:color w:val="0D0D0D" w:themeColor="text1" w:themeTint="F2"/>
          <w:sz w:val="24"/>
          <w:szCs w:val="24"/>
        </w:rPr>
        <w:t>Results</w:t>
      </w:r>
    </w:p>
    <w:p w14:paraId="5157096E" w14:textId="5C357939" w:rsidR="00C92BAC" w:rsidRPr="00842FE5" w:rsidRDefault="00944D2B" w:rsidP="003858C4">
      <w:pPr>
        <w:pStyle w:val="ListParagraph"/>
        <w:tabs>
          <w:tab w:val="left" w:pos="3441"/>
        </w:tabs>
        <w:spacing w:line="480" w:lineRule="auto"/>
        <w:ind w:left="0"/>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 xml:space="preserve">Out of a </w:t>
      </w:r>
      <w:r w:rsidR="00CA65B6" w:rsidRPr="00842FE5">
        <w:rPr>
          <w:rFonts w:ascii="Times New Roman" w:hAnsi="Times New Roman" w:cs="Times New Roman"/>
          <w:color w:val="0D0D0D" w:themeColor="text1" w:themeTint="F2"/>
          <w:sz w:val="24"/>
          <w:szCs w:val="24"/>
        </w:rPr>
        <w:t xml:space="preserve">total of </w:t>
      </w:r>
      <w:r w:rsidR="00E120D3" w:rsidRPr="00842FE5">
        <w:rPr>
          <w:rFonts w:ascii="Times New Roman" w:hAnsi="Times New Roman" w:cs="Times New Roman"/>
          <w:color w:val="0D0D0D" w:themeColor="text1" w:themeTint="F2"/>
          <w:sz w:val="24"/>
          <w:szCs w:val="24"/>
        </w:rPr>
        <w:t xml:space="preserve">385 evaluable participants, </w:t>
      </w:r>
      <w:r w:rsidR="00291C16" w:rsidRPr="00842FE5">
        <w:rPr>
          <w:rFonts w:ascii="Times New Roman" w:hAnsi="Times New Roman" w:cs="Times New Roman"/>
          <w:color w:val="0D0D0D" w:themeColor="text1" w:themeTint="F2"/>
          <w:sz w:val="24"/>
          <w:szCs w:val="24"/>
        </w:rPr>
        <w:t>372 participants</w:t>
      </w:r>
      <w:r w:rsidR="00C73C38" w:rsidRPr="00842FE5">
        <w:rPr>
          <w:rFonts w:ascii="Times New Roman" w:hAnsi="Times New Roman" w:cs="Times New Roman"/>
          <w:color w:val="0D0D0D" w:themeColor="text1" w:themeTint="F2"/>
          <w:sz w:val="24"/>
          <w:szCs w:val="24"/>
        </w:rPr>
        <w:t xml:space="preserve"> </w:t>
      </w:r>
      <w:r w:rsidR="00C26557" w:rsidRPr="00842FE5">
        <w:rPr>
          <w:rFonts w:ascii="Times New Roman" w:hAnsi="Times New Roman" w:cs="Times New Roman"/>
          <w:color w:val="0D0D0D" w:themeColor="text1" w:themeTint="F2"/>
          <w:sz w:val="24"/>
          <w:szCs w:val="24"/>
        </w:rPr>
        <w:t>from Asia (</w:t>
      </w:r>
      <w:r w:rsidR="00EA2630">
        <w:rPr>
          <w:rFonts w:ascii="Times New Roman" w:hAnsi="Times New Roman" w:cs="Times New Roman"/>
          <w:color w:val="0D0D0D" w:themeColor="text1" w:themeTint="F2"/>
          <w:sz w:val="24"/>
          <w:szCs w:val="24"/>
        </w:rPr>
        <w:t>n</w:t>
      </w:r>
      <w:r w:rsidR="00C26557" w:rsidRPr="00842FE5">
        <w:rPr>
          <w:rFonts w:ascii="Times New Roman" w:hAnsi="Times New Roman" w:cs="Times New Roman"/>
          <w:color w:val="0D0D0D" w:themeColor="text1" w:themeTint="F2"/>
          <w:sz w:val="24"/>
          <w:szCs w:val="24"/>
        </w:rPr>
        <w:t>=125)</w:t>
      </w:r>
      <w:r w:rsidR="00482E1B" w:rsidRPr="00842FE5">
        <w:rPr>
          <w:rFonts w:ascii="Times New Roman" w:hAnsi="Times New Roman" w:cs="Times New Roman"/>
          <w:color w:val="0D0D0D" w:themeColor="text1" w:themeTint="F2"/>
          <w:sz w:val="24"/>
          <w:szCs w:val="24"/>
        </w:rPr>
        <w:t>,</w:t>
      </w:r>
      <w:r w:rsidR="00C26557" w:rsidRPr="00842FE5">
        <w:rPr>
          <w:rFonts w:ascii="Times New Roman" w:hAnsi="Times New Roman" w:cs="Times New Roman"/>
          <w:color w:val="0D0D0D" w:themeColor="text1" w:themeTint="F2"/>
          <w:sz w:val="24"/>
          <w:szCs w:val="24"/>
        </w:rPr>
        <w:t xml:space="preserve"> Latin America (</w:t>
      </w:r>
      <w:r w:rsidR="00EA2630">
        <w:rPr>
          <w:rFonts w:ascii="Times New Roman" w:hAnsi="Times New Roman" w:cs="Times New Roman"/>
          <w:color w:val="0D0D0D" w:themeColor="text1" w:themeTint="F2"/>
          <w:sz w:val="24"/>
          <w:szCs w:val="24"/>
        </w:rPr>
        <w:t>n</w:t>
      </w:r>
      <w:r w:rsidR="00C26557" w:rsidRPr="00842FE5">
        <w:rPr>
          <w:rFonts w:ascii="Times New Roman" w:hAnsi="Times New Roman" w:cs="Times New Roman"/>
          <w:color w:val="0D0D0D" w:themeColor="text1" w:themeTint="F2"/>
          <w:sz w:val="24"/>
          <w:szCs w:val="24"/>
        </w:rPr>
        <w:t>=141)</w:t>
      </w:r>
      <w:r w:rsidR="00482E1B" w:rsidRPr="00842FE5">
        <w:rPr>
          <w:rFonts w:ascii="Times New Roman" w:hAnsi="Times New Roman" w:cs="Times New Roman"/>
          <w:color w:val="0D0D0D" w:themeColor="text1" w:themeTint="F2"/>
          <w:sz w:val="24"/>
          <w:szCs w:val="24"/>
        </w:rPr>
        <w:t>,</w:t>
      </w:r>
      <w:r w:rsidR="00C26557" w:rsidRPr="00842FE5">
        <w:rPr>
          <w:rFonts w:ascii="Times New Roman" w:hAnsi="Times New Roman" w:cs="Times New Roman"/>
          <w:color w:val="0D0D0D" w:themeColor="text1" w:themeTint="F2"/>
          <w:sz w:val="24"/>
          <w:szCs w:val="24"/>
        </w:rPr>
        <w:t xml:space="preserve"> and Middle</w:t>
      </w:r>
      <w:r w:rsidR="003231FD" w:rsidRPr="00842FE5">
        <w:rPr>
          <w:rFonts w:ascii="Times New Roman" w:hAnsi="Times New Roman" w:cs="Times New Roman"/>
          <w:color w:val="0D0D0D" w:themeColor="text1" w:themeTint="F2"/>
          <w:sz w:val="24"/>
          <w:szCs w:val="24"/>
        </w:rPr>
        <w:t>-</w:t>
      </w:r>
      <w:r w:rsidR="00C26557" w:rsidRPr="00842FE5">
        <w:rPr>
          <w:rFonts w:ascii="Times New Roman" w:hAnsi="Times New Roman" w:cs="Times New Roman"/>
          <w:color w:val="0D0D0D" w:themeColor="text1" w:themeTint="F2"/>
          <w:sz w:val="24"/>
          <w:szCs w:val="24"/>
        </w:rPr>
        <w:t>East Africa (</w:t>
      </w:r>
      <w:r w:rsidR="00EA2630">
        <w:rPr>
          <w:rFonts w:ascii="Times New Roman" w:hAnsi="Times New Roman" w:cs="Times New Roman"/>
          <w:color w:val="0D0D0D" w:themeColor="text1" w:themeTint="F2"/>
          <w:sz w:val="24"/>
          <w:szCs w:val="24"/>
        </w:rPr>
        <w:t>n</w:t>
      </w:r>
      <w:r w:rsidR="00C26557" w:rsidRPr="00842FE5">
        <w:rPr>
          <w:rFonts w:ascii="Times New Roman" w:hAnsi="Times New Roman" w:cs="Times New Roman"/>
          <w:color w:val="0D0D0D" w:themeColor="text1" w:themeTint="F2"/>
          <w:sz w:val="24"/>
          <w:szCs w:val="24"/>
        </w:rPr>
        <w:t>=106)</w:t>
      </w:r>
      <w:r w:rsidR="009067DE" w:rsidRPr="00842FE5">
        <w:rPr>
          <w:rFonts w:ascii="Times New Roman" w:hAnsi="Times New Roman" w:cs="Times New Roman"/>
          <w:color w:val="0D0D0D" w:themeColor="text1" w:themeTint="F2"/>
          <w:sz w:val="24"/>
          <w:szCs w:val="24"/>
        </w:rPr>
        <w:t xml:space="preserve"> were </w:t>
      </w:r>
      <w:r w:rsidR="00E120D3" w:rsidRPr="00842FE5">
        <w:rPr>
          <w:rFonts w:ascii="Times New Roman" w:hAnsi="Times New Roman" w:cs="Times New Roman"/>
          <w:color w:val="0D0D0D" w:themeColor="text1" w:themeTint="F2"/>
          <w:sz w:val="24"/>
          <w:szCs w:val="24"/>
        </w:rPr>
        <w:t>enrolled</w:t>
      </w:r>
      <w:r w:rsidR="00962162" w:rsidRPr="00842FE5">
        <w:rPr>
          <w:rFonts w:ascii="Times New Roman" w:hAnsi="Times New Roman" w:cs="Times New Roman"/>
          <w:color w:val="0D0D0D" w:themeColor="text1" w:themeTint="F2"/>
          <w:sz w:val="24"/>
          <w:szCs w:val="24"/>
        </w:rPr>
        <w:t>;</w:t>
      </w:r>
      <w:r w:rsidR="002D0B6E" w:rsidRPr="00842FE5">
        <w:rPr>
          <w:rFonts w:ascii="Times New Roman" w:hAnsi="Times New Roman" w:cs="Times New Roman"/>
          <w:color w:val="0D0D0D" w:themeColor="text1" w:themeTint="F2"/>
          <w:sz w:val="24"/>
          <w:szCs w:val="24"/>
        </w:rPr>
        <w:t xml:space="preserve"> </w:t>
      </w:r>
      <w:r w:rsidR="00926119" w:rsidRPr="00842FE5">
        <w:rPr>
          <w:rFonts w:ascii="Times New Roman" w:hAnsi="Times New Roman" w:cs="Times New Roman"/>
          <w:color w:val="0D0D0D" w:themeColor="text1" w:themeTint="F2"/>
          <w:sz w:val="24"/>
          <w:szCs w:val="24"/>
        </w:rPr>
        <w:t>a majority (</w:t>
      </w:r>
      <w:r w:rsidR="00460529" w:rsidRPr="00842FE5">
        <w:rPr>
          <w:rFonts w:ascii="Times New Roman" w:hAnsi="Times New Roman" w:cs="Times New Roman"/>
          <w:color w:val="0D0D0D" w:themeColor="text1" w:themeTint="F2"/>
          <w:sz w:val="24"/>
          <w:szCs w:val="24"/>
        </w:rPr>
        <w:t xml:space="preserve">361 </w:t>
      </w:r>
      <w:r w:rsidR="004652AD" w:rsidRPr="00842FE5">
        <w:rPr>
          <w:rFonts w:ascii="Times New Roman" w:hAnsi="Times New Roman" w:cs="Times New Roman"/>
          <w:color w:val="0D0D0D" w:themeColor="text1" w:themeTint="F2"/>
          <w:sz w:val="24"/>
          <w:szCs w:val="24"/>
        </w:rPr>
        <w:t>[</w:t>
      </w:r>
      <w:r w:rsidR="00460529" w:rsidRPr="00842FE5">
        <w:rPr>
          <w:rFonts w:ascii="Times New Roman" w:hAnsi="Times New Roman" w:cs="Times New Roman"/>
          <w:color w:val="0D0D0D" w:themeColor="text1" w:themeTint="F2"/>
          <w:sz w:val="24"/>
          <w:szCs w:val="24"/>
        </w:rPr>
        <w:t>97.0%</w:t>
      </w:r>
      <w:r w:rsidR="004652AD" w:rsidRPr="00842FE5">
        <w:rPr>
          <w:rFonts w:ascii="Times New Roman" w:hAnsi="Times New Roman" w:cs="Times New Roman"/>
          <w:color w:val="0D0D0D" w:themeColor="text1" w:themeTint="F2"/>
          <w:sz w:val="24"/>
          <w:szCs w:val="24"/>
        </w:rPr>
        <w:t>]</w:t>
      </w:r>
      <w:r w:rsidR="00460529" w:rsidRPr="00842FE5">
        <w:rPr>
          <w:rFonts w:ascii="Times New Roman" w:hAnsi="Times New Roman" w:cs="Times New Roman"/>
          <w:color w:val="0D0D0D" w:themeColor="text1" w:themeTint="F2"/>
          <w:sz w:val="24"/>
          <w:szCs w:val="24"/>
        </w:rPr>
        <w:t xml:space="preserve">) </w:t>
      </w:r>
      <w:r w:rsidR="00171AC4" w:rsidRPr="00842FE5">
        <w:rPr>
          <w:rFonts w:ascii="Times New Roman" w:hAnsi="Times New Roman" w:cs="Times New Roman"/>
          <w:color w:val="0D0D0D" w:themeColor="text1" w:themeTint="F2"/>
          <w:sz w:val="24"/>
          <w:szCs w:val="24"/>
        </w:rPr>
        <w:t xml:space="preserve">of the participants </w:t>
      </w:r>
      <w:r w:rsidR="00460529" w:rsidRPr="00842FE5">
        <w:rPr>
          <w:rFonts w:ascii="Times New Roman" w:hAnsi="Times New Roman" w:cs="Times New Roman"/>
          <w:color w:val="0D0D0D" w:themeColor="text1" w:themeTint="F2"/>
          <w:sz w:val="24"/>
          <w:szCs w:val="24"/>
        </w:rPr>
        <w:t xml:space="preserve">completed the </w:t>
      </w:r>
      <w:r w:rsidR="00BB4526" w:rsidRPr="00842FE5">
        <w:rPr>
          <w:rFonts w:ascii="Times New Roman" w:hAnsi="Times New Roman" w:cs="Times New Roman"/>
          <w:color w:val="0D0D0D" w:themeColor="text1" w:themeTint="F2"/>
          <w:sz w:val="24"/>
          <w:szCs w:val="24"/>
        </w:rPr>
        <w:t xml:space="preserve">on-treatment period </w:t>
      </w:r>
      <w:r w:rsidR="00460529" w:rsidRPr="00842FE5">
        <w:rPr>
          <w:rFonts w:ascii="Times New Roman" w:hAnsi="Times New Roman" w:cs="Times New Roman"/>
          <w:color w:val="0D0D0D" w:themeColor="text1" w:themeTint="F2"/>
          <w:sz w:val="24"/>
          <w:szCs w:val="24"/>
        </w:rPr>
        <w:t xml:space="preserve">and </w:t>
      </w:r>
      <w:r w:rsidR="00C33065" w:rsidRPr="00842FE5">
        <w:rPr>
          <w:rFonts w:ascii="Times New Roman" w:hAnsi="Times New Roman" w:cs="Times New Roman"/>
          <w:color w:val="0D0D0D" w:themeColor="text1" w:themeTint="F2"/>
          <w:sz w:val="24"/>
          <w:szCs w:val="24"/>
        </w:rPr>
        <w:t>11 (3.0%) discontinue</w:t>
      </w:r>
      <w:r w:rsidR="003224BB" w:rsidRPr="00842FE5">
        <w:rPr>
          <w:rFonts w:ascii="Times New Roman" w:hAnsi="Times New Roman" w:cs="Times New Roman"/>
          <w:color w:val="0D0D0D" w:themeColor="text1" w:themeTint="F2"/>
          <w:sz w:val="24"/>
          <w:szCs w:val="24"/>
        </w:rPr>
        <w:t>d</w:t>
      </w:r>
      <w:r w:rsidR="00C33065" w:rsidRPr="00842FE5">
        <w:rPr>
          <w:rFonts w:ascii="Times New Roman" w:hAnsi="Times New Roman" w:cs="Times New Roman"/>
          <w:color w:val="0D0D0D" w:themeColor="text1" w:themeTint="F2"/>
          <w:sz w:val="24"/>
          <w:szCs w:val="24"/>
        </w:rPr>
        <w:t xml:space="preserve"> </w:t>
      </w:r>
      <w:r w:rsidR="00A25439" w:rsidRPr="00842FE5">
        <w:rPr>
          <w:rFonts w:ascii="Times New Roman" w:hAnsi="Times New Roman" w:cs="Times New Roman"/>
          <w:color w:val="0D0D0D" w:themeColor="text1" w:themeTint="F2"/>
          <w:sz w:val="24"/>
          <w:szCs w:val="24"/>
        </w:rPr>
        <w:t>treatment</w:t>
      </w:r>
      <w:r w:rsidR="003224BB" w:rsidRPr="00842FE5">
        <w:rPr>
          <w:rFonts w:ascii="Times New Roman" w:hAnsi="Times New Roman" w:cs="Times New Roman"/>
          <w:color w:val="0D0D0D" w:themeColor="text1" w:themeTint="F2"/>
          <w:sz w:val="24"/>
          <w:szCs w:val="24"/>
        </w:rPr>
        <w:t xml:space="preserve">. </w:t>
      </w:r>
      <w:r w:rsidR="004F0AD4" w:rsidRPr="00842FE5">
        <w:rPr>
          <w:rFonts w:ascii="Times New Roman" w:hAnsi="Times New Roman" w:cs="Times New Roman"/>
          <w:color w:val="0D0D0D" w:themeColor="text1" w:themeTint="F2"/>
          <w:sz w:val="24"/>
          <w:szCs w:val="24"/>
        </w:rPr>
        <w:t>M</w:t>
      </w:r>
      <w:r w:rsidR="00C33065" w:rsidRPr="00842FE5">
        <w:rPr>
          <w:rFonts w:ascii="Times New Roman" w:hAnsi="Times New Roman" w:cs="Times New Roman"/>
          <w:color w:val="0D0D0D" w:themeColor="text1" w:themeTint="F2"/>
          <w:sz w:val="24"/>
          <w:szCs w:val="24"/>
        </w:rPr>
        <w:t>ajor reasons for discontinuations were adverse events</w:t>
      </w:r>
      <w:r w:rsidR="00FA6632" w:rsidRPr="00842FE5">
        <w:rPr>
          <w:rFonts w:ascii="Times New Roman" w:hAnsi="Times New Roman" w:cs="Times New Roman"/>
          <w:color w:val="0D0D0D" w:themeColor="text1" w:themeTint="F2"/>
          <w:sz w:val="24"/>
          <w:szCs w:val="24"/>
        </w:rPr>
        <w:t xml:space="preserve"> (</w:t>
      </w:r>
      <w:r w:rsidR="00F81A93" w:rsidRPr="00842FE5">
        <w:rPr>
          <w:rFonts w:ascii="Times New Roman" w:hAnsi="Times New Roman" w:cs="Times New Roman"/>
          <w:color w:val="0D0D0D" w:themeColor="text1" w:themeTint="F2"/>
          <w:sz w:val="24"/>
          <w:szCs w:val="24"/>
        </w:rPr>
        <w:t>n</w:t>
      </w:r>
      <w:r w:rsidR="001A0C1A" w:rsidRPr="00842FE5">
        <w:rPr>
          <w:rFonts w:ascii="Times New Roman" w:hAnsi="Times New Roman" w:cs="Times New Roman"/>
          <w:color w:val="0D0D0D" w:themeColor="text1" w:themeTint="F2"/>
          <w:sz w:val="24"/>
          <w:szCs w:val="24"/>
        </w:rPr>
        <w:t>=</w:t>
      </w:r>
      <w:r w:rsidR="005D4C6F" w:rsidRPr="00842FE5">
        <w:rPr>
          <w:rFonts w:ascii="Times New Roman" w:hAnsi="Times New Roman" w:cs="Times New Roman"/>
          <w:color w:val="0D0D0D" w:themeColor="text1" w:themeTint="F2"/>
          <w:sz w:val="24"/>
          <w:szCs w:val="24"/>
        </w:rPr>
        <w:t>5</w:t>
      </w:r>
      <w:r w:rsidR="00FA6632" w:rsidRPr="00842FE5">
        <w:rPr>
          <w:rFonts w:ascii="Times New Roman" w:hAnsi="Times New Roman" w:cs="Times New Roman"/>
          <w:color w:val="0D0D0D" w:themeColor="text1" w:themeTint="F2"/>
          <w:sz w:val="24"/>
          <w:szCs w:val="24"/>
        </w:rPr>
        <w:t>)</w:t>
      </w:r>
      <w:r w:rsidR="00C33065" w:rsidRPr="00842FE5">
        <w:rPr>
          <w:rFonts w:ascii="Times New Roman" w:hAnsi="Times New Roman" w:cs="Times New Roman"/>
          <w:color w:val="0D0D0D" w:themeColor="text1" w:themeTint="F2"/>
          <w:sz w:val="24"/>
          <w:szCs w:val="24"/>
        </w:rPr>
        <w:t xml:space="preserve">, </w:t>
      </w:r>
      <w:r w:rsidR="00C346E1" w:rsidRPr="00842FE5">
        <w:rPr>
          <w:rFonts w:ascii="Times New Roman" w:hAnsi="Times New Roman" w:cs="Times New Roman"/>
          <w:color w:val="0D0D0D" w:themeColor="text1" w:themeTint="F2"/>
          <w:sz w:val="24"/>
          <w:szCs w:val="24"/>
        </w:rPr>
        <w:t xml:space="preserve">withdrawal </w:t>
      </w:r>
      <w:r w:rsidR="0044783D">
        <w:rPr>
          <w:rFonts w:ascii="Times New Roman" w:hAnsi="Times New Roman" w:cs="Times New Roman"/>
          <w:color w:val="0D0D0D" w:themeColor="text1" w:themeTint="F2"/>
          <w:sz w:val="24"/>
          <w:szCs w:val="24"/>
        </w:rPr>
        <w:t xml:space="preserve">by the </w:t>
      </w:r>
      <w:r w:rsidR="00C346E1" w:rsidRPr="00842FE5">
        <w:rPr>
          <w:rFonts w:ascii="Times New Roman" w:hAnsi="Times New Roman" w:cs="Times New Roman"/>
          <w:color w:val="0D0D0D" w:themeColor="text1" w:themeTint="F2"/>
          <w:sz w:val="24"/>
          <w:szCs w:val="24"/>
        </w:rPr>
        <w:t>subjects (</w:t>
      </w:r>
      <w:r w:rsidR="00F81A93" w:rsidRPr="00842FE5">
        <w:rPr>
          <w:rFonts w:ascii="Times New Roman" w:hAnsi="Times New Roman" w:cs="Times New Roman"/>
          <w:color w:val="0D0D0D" w:themeColor="text1" w:themeTint="F2"/>
          <w:sz w:val="24"/>
          <w:szCs w:val="24"/>
        </w:rPr>
        <w:t>n</w:t>
      </w:r>
      <w:r w:rsidR="001A0C1A" w:rsidRPr="00842FE5">
        <w:rPr>
          <w:rFonts w:ascii="Times New Roman" w:hAnsi="Times New Roman" w:cs="Times New Roman"/>
          <w:color w:val="0D0D0D" w:themeColor="text1" w:themeTint="F2"/>
          <w:sz w:val="24"/>
          <w:szCs w:val="24"/>
        </w:rPr>
        <w:t>=</w:t>
      </w:r>
      <w:r w:rsidR="0051031D" w:rsidRPr="00842FE5">
        <w:rPr>
          <w:rFonts w:ascii="Times New Roman" w:hAnsi="Times New Roman" w:cs="Times New Roman"/>
          <w:color w:val="0D0D0D" w:themeColor="text1" w:themeTint="F2"/>
          <w:sz w:val="24"/>
          <w:szCs w:val="24"/>
        </w:rPr>
        <w:t>4</w:t>
      </w:r>
      <w:r w:rsidR="00C346E1" w:rsidRPr="00842FE5">
        <w:rPr>
          <w:rFonts w:ascii="Times New Roman" w:hAnsi="Times New Roman" w:cs="Times New Roman"/>
          <w:color w:val="0D0D0D" w:themeColor="text1" w:themeTint="F2"/>
          <w:sz w:val="24"/>
          <w:szCs w:val="24"/>
        </w:rPr>
        <w:t>)</w:t>
      </w:r>
      <w:r w:rsidR="00FB758A" w:rsidRPr="00842FE5">
        <w:rPr>
          <w:rFonts w:ascii="Times New Roman" w:hAnsi="Times New Roman" w:cs="Times New Roman"/>
          <w:color w:val="0D0D0D" w:themeColor="text1" w:themeTint="F2"/>
          <w:sz w:val="24"/>
          <w:szCs w:val="24"/>
        </w:rPr>
        <w:t xml:space="preserve">, </w:t>
      </w:r>
      <w:r w:rsidR="00A431BE" w:rsidRPr="00842FE5">
        <w:rPr>
          <w:rFonts w:ascii="Times New Roman" w:hAnsi="Times New Roman" w:cs="Times New Roman"/>
          <w:color w:val="0D0D0D" w:themeColor="text1" w:themeTint="F2"/>
          <w:sz w:val="24"/>
          <w:szCs w:val="24"/>
        </w:rPr>
        <w:t>poor compliance</w:t>
      </w:r>
      <w:r w:rsidR="00423412" w:rsidRPr="00842FE5">
        <w:rPr>
          <w:rFonts w:ascii="Times New Roman" w:hAnsi="Times New Roman" w:cs="Times New Roman"/>
          <w:color w:val="0D0D0D" w:themeColor="text1" w:themeTint="F2"/>
          <w:sz w:val="24"/>
          <w:szCs w:val="24"/>
        </w:rPr>
        <w:t xml:space="preserve"> to protocol</w:t>
      </w:r>
      <w:r w:rsidR="00C346E1" w:rsidRPr="00842FE5">
        <w:rPr>
          <w:rFonts w:ascii="Times New Roman" w:hAnsi="Times New Roman" w:cs="Times New Roman"/>
          <w:color w:val="0D0D0D" w:themeColor="text1" w:themeTint="F2"/>
          <w:sz w:val="24"/>
          <w:szCs w:val="24"/>
        </w:rPr>
        <w:t xml:space="preserve"> (</w:t>
      </w:r>
      <w:r w:rsidR="00F81A93" w:rsidRPr="00842FE5">
        <w:rPr>
          <w:rFonts w:ascii="Times New Roman" w:hAnsi="Times New Roman" w:cs="Times New Roman"/>
          <w:color w:val="0D0D0D" w:themeColor="text1" w:themeTint="F2"/>
          <w:sz w:val="24"/>
          <w:szCs w:val="24"/>
        </w:rPr>
        <w:t>n</w:t>
      </w:r>
      <w:r w:rsidR="001A0C1A" w:rsidRPr="00842FE5">
        <w:rPr>
          <w:rFonts w:ascii="Times New Roman" w:hAnsi="Times New Roman" w:cs="Times New Roman"/>
          <w:color w:val="0D0D0D" w:themeColor="text1" w:themeTint="F2"/>
          <w:sz w:val="24"/>
          <w:szCs w:val="24"/>
        </w:rPr>
        <w:t>=</w:t>
      </w:r>
      <w:r w:rsidR="0051031D" w:rsidRPr="00842FE5">
        <w:rPr>
          <w:rFonts w:ascii="Times New Roman" w:hAnsi="Times New Roman" w:cs="Times New Roman"/>
          <w:color w:val="0D0D0D" w:themeColor="text1" w:themeTint="F2"/>
          <w:sz w:val="24"/>
          <w:szCs w:val="24"/>
        </w:rPr>
        <w:t>1</w:t>
      </w:r>
      <w:r w:rsidR="00C346E1" w:rsidRPr="00842FE5">
        <w:rPr>
          <w:rFonts w:ascii="Times New Roman" w:hAnsi="Times New Roman" w:cs="Times New Roman"/>
          <w:color w:val="0D0D0D" w:themeColor="text1" w:themeTint="F2"/>
          <w:sz w:val="24"/>
          <w:szCs w:val="24"/>
        </w:rPr>
        <w:t>)</w:t>
      </w:r>
      <w:r w:rsidR="00FB758A" w:rsidRPr="00842FE5">
        <w:rPr>
          <w:rFonts w:ascii="Times New Roman" w:hAnsi="Times New Roman" w:cs="Times New Roman"/>
          <w:color w:val="0D0D0D" w:themeColor="text1" w:themeTint="F2"/>
          <w:sz w:val="24"/>
          <w:szCs w:val="24"/>
        </w:rPr>
        <w:t xml:space="preserve"> and </w:t>
      </w:r>
      <w:r w:rsidR="007E3BE5" w:rsidRPr="00842FE5">
        <w:rPr>
          <w:rFonts w:ascii="Times New Roman" w:hAnsi="Times New Roman" w:cs="Times New Roman"/>
          <w:color w:val="0D0D0D" w:themeColor="text1" w:themeTint="F2"/>
          <w:sz w:val="24"/>
          <w:szCs w:val="24"/>
        </w:rPr>
        <w:t>lost to follow up</w:t>
      </w:r>
      <w:r w:rsidR="00FB758A" w:rsidRPr="00842FE5">
        <w:rPr>
          <w:rFonts w:ascii="Times New Roman" w:hAnsi="Times New Roman" w:cs="Times New Roman"/>
          <w:color w:val="0D0D0D" w:themeColor="text1" w:themeTint="F2"/>
          <w:sz w:val="24"/>
          <w:szCs w:val="24"/>
        </w:rPr>
        <w:t xml:space="preserve"> (</w:t>
      </w:r>
      <w:r w:rsidR="00F81A93" w:rsidRPr="00842FE5">
        <w:rPr>
          <w:rFonts w:ascii="Times New Roman" w:hAnsi="Times New Roman" w:cs="Times New Roman"/>
          <w:color w:val="0D0D0D" w:themeColor="text1" w:themeTint="F2"/>
          <w:sz w:val="24"/>
          <w:szCs w:val="24"/>
        </w:rPr>
        <w:t>n</w:t>
      </w:r>
      <w:r w:rsidR="00F07EBF" w:rsidRPr="00842FE5">
        <w:rPr>
          <w:rFonts w:ascii="Times New Roman" w:hAnsi="Times New Roman" w:cs="Times New Roman"/>
          <w:color w:val="0D0D0D" w:themeColor="text1" w:themeTint="F2"/>
          <w:sz w:val="24"/>
          <w:szCs w:val="24"/>
        </w:rPr>
        <w:t>=</w:t>
      </w:r>
      <w:r w:rsidR="007E3BE5" w:rsidRPr="00842FE5">
        <w:rPr>
          <w:rFonts w:ascii="Times New Roman" w:hAnsi="Times New Roman" w:cs="Times New Roman"/>
          <w:color w:val="0D0D0D" w:themeColor="text1" w:themeTint="F2"/>
          <w:sz w:val="24"/>
          <w:szCs w:val="24"/>
        </w:rPr>
        <w:t>1</w:t>
      </w:r>
      <w:r w:rsidR="00FB758A" w:rsidRPr="00842FE5">
        <w:rPr>
          <w:rFonts w:ascii="Times New Roman" w:hAnsi="Times New Roman" w:cs="Times New Roman"/>
          <w:color w:val="0D0D0D" w:themeColor="text1" w:themeTint="F2"/>
          <w:sz w:val="24"/>
          <w:szCs w:val="24"/>
        </w:rPr>
        <w:t>)</w:t>
      </w:r>
      <w:r w:rsidR="001A08EE" w:rsidRPr="00842FE5">
        <w:rPr>
          <w:rFonts w:ascii="Times New Roman" w:hAnsi="Times New Roman" w:cs="Times New Roman"/>
          <w:color w:val="0D0D0D" w:themeColor="text1" w:themeTint="F2"/>
          <w:sz w:val="24"/>
          <w:szCs w:val="24"/>
        </w:rPr>
        <w:t>.</w:t>
      </w:r>
      <w:r w:rsidR="00A44250" w:rsidRPr="00842FE5">
        <w:rPr>
          <w:rFonts w:ascii="Times New Roman" w:hAnsi="Times New Roman" w:cs="Times New Roman"/>
          <w:color w:val="0D0D0D" w:themeColor="text1" w:themeTint="F2"/>
          <w:sz w:val="24"/>
          <w:szCs w:val="24"/>
        </w:rPr>
        <w:t xml:space="preserve"> </w:t>
      </w:r>
      <w:r w:rsidR="00D31E7B" w:rsidRPr="00842FE5">
        <w:rPr>
          <w:rFonts w:ascii="Times New Roman" w:hAnsi="Times New Roman" w:cs="Times New Roman"/>
          <w:color w:val="0D0D0D" w:themeColor="text1" w:themeTint="F2"/>
          <w:sz w:val="24"/>
          <w:szCs w:val="24"/>
        </w:rPr>
        <w:t>T</w:t>
      </w:r>
      <w:r w:rsidR="00AB1BE9" w:rsidRPr="00842FE5">
        <w:rPr>
          <w:rFonts w:ascii="Times New Roman" w:hAnsi="Times New Roman" w:cs="Times New Roman"/>
          <w:color w:val="0D0D0D" w:themeColor="text1" w:themeTint="F2"/>
          <w:sz w:val="24"/>
          <w:szCs w:val="24"/>
        </w:rPr>
        <w:t xml:space="preserve">he </w:t>
      </w:r>
      <w:r w:rsidR="00D00604" w:rsidRPr="00842FE5">
        <w:rPr>
          <w:rFonts w:ascii="Times New Roman" w:hAnsi="Times New Roman" w:cs="Times New Roman"/>
          <w:color w:val="0D0D0D" w:themeColor="text1" w:themeTint="F2"/>
          <w:sz w:val="24"/>
          <w:szCs w:val="24"/>
        </w:rPr>
        <w:t>mean</w:t>
      </w:r>
      <w:r w:rsidR="00E810BE" w:rsidRPr="00842FE5">
        <w:rPr>
          <w:rFonts w:ascii="Times New Roman" w:hAnsi="Times New Roman" w:cs="Times New Roman"/>
          <w:color w:val="0D0D0D" w:themeColor="text1" w:themeTint="F2"/>
          <w:sz w:val="24"/>
          <w:szCs w:val="24"/>
        </w:rPr>
        <w:t xml:space="preserve"> (</w:t>
      </w:r>
      <w:r w:rsidR="00C01B55" w:rsidRPr="00842FE5">
        <w:rPr>
          <w:rFonts w:ascii="Times New Roman" w:hAnsi="Times New Roman" w:cs="Times New Roman"/>
          <w:color w:val="0D0D0D" w:themeColor="text1" w:themeTint="F2"/>
          <w:sz w:val="24"/>
          <w:szCs w:val="24"/>
        </w:rPr>
        <w:t xml:space="preserve">± </w:t>
      </w:r>
      <w:r w:rsidR="00E810BE" w:rsidRPr="00842FE5">
        <w:rPr>
          <w:rFonts w:ascii="Times New Roman" w:hAnsi="Times New Roman" w:cs="Times New Roman"/>
          <w:color w:val="0D0D0D" w:themeColor="text1" w:themeTint="F2"/>
          <w:sz w:val="24"/>
          <w:szCs w:val="24"/>
        </w:rPr>
        <w:t>SD)</w:t>
      </w:r>
      <w:r w:rsidR="00D00604" w:rsidRPr="00842FE5">
        <w:rPr>
          <w:rFonts w:ascii="Times New Roman" w:hAnsi="Times New Roman" w:cs="Times New Roman"/>
          <w:color w:val="0D0D0D" w:themeColor="text1" w:themeTint="F2"/>
          <w:sz w:val="24"/>
          <w:szCs w:val="24"/>
        </w:rPr>
        <w:t xml:space="preserve"> age was 60.9 </w:t>
      </w:r>
      <w:r w:rsidR="00C01B55" w:rsidRPr="00842FE5">
        <w:rPr>
          <w:rFonts w:ascii="Times New Roman" w:hAnsi="Times New Roman" w:cs="Times New Roman"/>
          <w:color w:val="0D0D0D" w:themeColor="text1" w:themeTint="F2"/>
          <w:sz w:val="24"/>
          <w:szCs w:val="24"/>
        </w:rPr>
        <w:t xml:space="preserve">± </w:t>
      </w:r>
      <w:r w:rsidR="00D00604" w:rsidRPr="00842FE5">
        <w:rPr>
          <w:rFonts w:ascii="Times New Roman" w:hAnsi="Times New Roman" w:cs="Times New Roman"/>
          <w:color w:val="0D0D0D" w:themeColor="text1" w:themeTint="F2"/>
          <w:sz w:val="24"/>
          <w:szCs w:val="24"/>
        </w:rPr>
        <w:t>10</w:t>
      </w:r>
      <w:r w:rsidR="002C4745" w:rsidRPr="00842FE5">
        <w:rPr>
          <w:rFonts w:ascii="Times New Roman" w:hAnsi="Times New Roman" w:cs="Times New Roman"/>
          <w:color w:val="0D0D0D" w:themeColor="text1" w:themeTint="F2"/>
          <w:sz w:val="24"/>
          <w:szCs w:val="24"/>
        </w:rPr>
        <w:t>.0</w:t>
      </w:r>
      <w:r w:rsidR="00D00604" w:rsidRPr="00842FE5">
        <w:rPr>
          <w:rFonts w:ascii="Times New Roman" w:hAnsi="Times New Roman" w:cs="Times New Roman"/>
          <w:color w:val="0D0D0D" w:themeColor="text1" w:themeTint="F2"/>
          <w:sz w:val="24"/>
          <w:szCs w:val="24"/>
        </w:rPr>
        <w:t xml:space="preserve"> years</w:t>
      </w:r>
      <w:r w:rsidR="00D31E7B" w:rsidRPr="00842FE5">
        <w:rPr>
          <w:rFonts w:ascii="Times New Roman" w:hAnsi="Times New Roman" w:cs="Times New Roman"/>
          <w:color w:val="0D0D0D" w:themeColor="text1" w:themeTint="F2"/>
          <w:sz w:val="24"/>
          <w:szCs w:val="24"/>
        </w:rPr>
        <w:t xml:space="preserve"> </w:t>
      </w:r>
      <w:r w:rsidR="00962162" w:rsidRPr="00842FE5">
        <w:rPr>
          <w:rFonts w:ascii="Times New Roman" w:hAnsi="Times New Roman" w:cs="Times New Roman"/>
          <w:color w:val="0D0D0D" w:themeColor="text1" w:themeTint="F2"/>
          <w:sz w:val="24"/>
          <w:szCs w:val="24"/>
        </w:rPr>
        <w:t>and 37.3% of participants were ≥65 years</w:t>
      </w:r>
      <w:r w:rsidR="000E5C3B" w:rsidRPr="00842FE5">
        <w:rPr>
          <w:rFonts w:ascii="Times New Roman" w:hAnsi="Times New Roman" w:cs="Times New Roman"/>
          <w:color w:val="0D0D0D" w:themeColor="text1" w:themeTint="F2"/>
          <w:sz w:val="24"/>
          <w:szCs w:val="24"/>
        </w:rPr>
        <w:t xml:space="preserve"> o</w:t>
      </w:r>
      <w:r w:rsidR="0072643A" w:rsidRPr="00842FE5">
        <w:rPr>
          <w:rFonts w:ascii="Times New Roman" w:hAnsi="Times New Roman" w:cs="Times New Roman"/>
          <w:color w:val="0D0D0D" w:themeColor="text1" w:themeTint="F2"/>
          <w:sz w:val="24"/>
          <w:szCs w:val="24"/>
        </w:rPr>
        <w:t>f age</w:t>
      </w:r>
      <w:r w:rsidR="008A2E0A" w:rsidRPr="00842FE5">
        <w:rPr>
          <w:rFonts w:ascii="Times New Roman" w:hAnsi="Times New Roman" w:cs="Times New Roman"/>
          <w:color w:val="0D0D0D" w:themeColor="text1" w:themeTint="F2"/>
          <w:sz w:val="24"/>
          <w:szCs w:val="24"/>
        </w:rPr>
        <w:t xml:space="preserve">; </w:t>
      </w:r>
      <w:r w:rsidR="0028246C" w:rsidRPr="00842FE5">
        <w:rPr>
          <w:rFonts w:ascii="Times New Roman" w:hAnsi="Times New Roman" w:cs="Times New Roman"/>
          <w:color w:val="0D0D0D" w:themeColor="text1" w:themeTint="F2"/>
          <w:sz w:val="24"/>
          <w:szCs w:val="24"/>
        </w:rPr>
        <w:t>the</w:t>
      </w:r>
      <w:r w:rsidR="00962162" w:rsidRPr="00842FE5">
        <w:rPr>
          <w:rFonts w:ascii="Times New Roman" w:hAnsi="Times New Roman" w:cs="Times New Roman"/>
          <w:color w:val="0D0D0D" w:themeColor="text1" w:themeTint="F2"/>
          <w:sz w:val="24"/>
          <w:szCs w:val="24"/>
        </w:rPr>
        <w:t xml:space="preserve"> proportion of male and female participants were equal (50% each).</w:t>
      </w:r>
      <w:r w:rsidR="00224AFA" w:rsidRPr="00842FE5">
        <w:rPr>
          <w:rFonts w:ascii="Times New Roman" w:hAnsi="Times New Roman" w:cs="Times New Roman"/>
          <w:color w:val="0D0D0D" w:themeColor="text1" w:themeTint="F2"/>
          <w:sz w:val="24"/>
          <w:szCs w:val="24"/>
        </w:rPr>
        <w:t xml:space="preserve"> </w:t>
      </w:r>
      <w:r w:rsidR="00A11D88" w:rsidRPr="00842FE5">
        <w:rPr>
          <w:rFonts w:ascii="Times New Roman" w:hAnsi="Times New Roman" w:cs="Times New Roman"/>
          <w:color w:val="0D0D0D" w:themeColor="text1" w:themeTint="F2"/>
          <w:sz w:val="24"/>
          <w:szCs w:val="24"/>
        </w:rPr>
        <w:t>T</w:t>
      </w:r>
      <w:r w:rsidR="00EC139B" w:rsidRPr="00842FE5">
        <w:rPr>
          <w:rFonts w:ascii="Times New Roman" w:hAnsi="Times New Roman" w:cs="Times New Roman"/>
          <w:color w:val="0D0D0D" w:themeColor="text1" w:themeTint="F2"/>
          <w:sz w:val="24"/>
          <w:szCs w:val="24"/>
        </w:rPr>
        <w:t xml:space="preserve">he </w:t>
      </w:r>
      <w:r w:rsidR="004F29F4" w:rsidRPr="00842FE5">
        <w:rPr>
          <w:rFonts w:ascii="Times New Roman" w:hAnsi="Times New Roman" w:cs="Times New Roman"/>
          <w:color w:val="0D0D0D" w:themeColor="text1" w:themeTint="F2"/>
          <w:sz w:val="24"/>
          <w:szCs w:val="24"/>
        </w:rPr>
        <w:t xml:space="preserve">mean </w:t>
      </w:r>
      <w:r w:rsidR="00EC139B" w:rsidRPr="00842FE5">
        <w:rPr>
          <w:rFonts w:ascii="Times New Roman" w:hAnsi="Times New Roman" w:cs="Times New Roman"/>
          <w:color w:val="0D0D0D" w:themeColor="text1" w:themeTint="F2"/>
          <w:sz w:val="24"/>
          <w:szCs w:val="24"/>
        </w:rPr>
        <w:t>BMI was 29.</w:t>
      </w:r>
      <w:r w:rsidR="004F29F4" w:rsidRPr="00842FE5">
        <w:rPr>
          <w:rFonts w:ascii="Times New Roman" w:hAnsi="Times New Roman" w:cs="Times New Roman"/>
          <w:color w:val="0D0D0D" w:themeColor="text1" w:themeTint="F2"/>
          <w:sz w:val="24"/>
          <w:szCs w:val="24"/>
        </w:rPr>
        <w:t xml:space="preserve">6 </w:t>
      </w:r>
      <w:r w:rsidR="00EC139B" w:rsidRPr="00842FE5">
        <w:rPr>
          <w:rFonts w:ascii="Times New Roman" w:hAnsi="Times New Roman" w:cs="Times New Roman"/>
          <w:color w:val="0D0D0D" w:themeColor="text1" w:themeTint="F2"/>
          <w:sz w:val="24"/>
          <w:szCs w:val="24"/>
        </w:rPr>
        <w:t>kg/m</w:t>
      </w:r>
      <w:r w:rsidR="00EC139B" w:rsidRPr="00842FE5">
        <w:rPr>
          <w:rFonts w:ascii="Times New Roman" w:hAnsi="Times New Roman" w:cs="Times New Roman"/>
          <w:color w:val="0D0D0D" w:themeColor="text1" w:themeTint="F2"/>
          <w:sz w:val="24"/>
          <w:szCs w:val="24"/>
          <w:vertAlign w:val="superscript"/>
        </w:rPr>
        <w:t>2</w:t>
      </w:r>
      <w:r w:rsidR="00E35AE9" w:rsidRPr="00842FE5">
        <w:rPr>
          <w:rFonts w:ascii="Times New Roman" w:hAnsi="Times New Roman" w:cs="Times New Roman"/>
          <w:color w:val="0D0D0D" w:themeColor="text1" w:themeTint="F2"/>
          <w:sz w:val="24"/>
          <w:szCs w:val="24"/>
          <w:vertAlign w:val="superscript"/>
        </w:rPr>
        <w:t xml:space="preserve"> </w:t>
      </w:r>
      <w:r w:rsidR="004318E7" w:rsidRPr="00842FE5">
        <w:rPr>
          <w:rFonts w:ascii="Times New Roman" w:hAnsi="Times New Roman" w:cs="Times New Roman"/>
          <w:color w:val="0D0D0D" w:themeColor="text1" w:themeTint="F2"/>
          <w:sz w:val="24"/>
          <w:szCs w:val="24"/>
        </w:rPr>
        <w:t xml:space="preserve">and most </w:t>
      </w:r>
      <w:r w:rsidR="003C387E" w:rsidRPr="00842FE5">
        <w:rPr>
          <w:rFonts w:ascii="Times New Roman" w:hAnsi="Times New Roman" w:cs="Times New Roman"/>
          <w:color w:val="0D0D0D" w:themeColor="text1" w:themeTint="F2"/>
          <w:sz w:val="24"/>
          <w:szCs w:val="24"/>
        </w:rPr>
        <w:t xml:space="preserve">of </w:t>
      </w:r>
      <w:r w:rsidR="008864EF">
        <w:rPr>
          <w:rFonts w:ascii="Times New Roman" w:hAnsi="Times New Roman" w:cs="Times New Roman"/>
          <w:color w:val="0D0D0D" w:themeColor="text1" w:themeTint="F2"/>
          <w:sz w:val="24"/>
          <w:szCs w:val="24"/>
        </w:rPr>
        <w:t xml:space="preserve">the participants </w:t>
      </w:r>
      <w:r w:rsidR="003C387E" w:rsidRPr="00842FE5">
        <w:rPr>
          <w:rFonts w:ascii="Times New Roman" w:hAnsi="Times New Roman" w:cs="Times New Roman"/>
          <w:color w:val="0D0D0D" w:themeColor="text1" w:themeTint="F2"/>
          <w:sz w:val="24"/>
          <w:szCs w:val="24"/>
        </w:rPr>
        <w:t xml:space="preserve">(82.0%) were obese or </w:t>
      </w:r>
      <w:r w:rsidR="004318E7" w:rsidRPr="00842FE5">
        <w:rPr>
          <w:rFonts w:ascii="Times New Roman" w:hAnsi="Times New Roman" w:cs="Times New Roman"/>
          <w:color w:val="0D0D0D" w:themeColor="text1" w:themeTint="F2"/>
          <w:sz w:val="24"/>
          <w:szCs w:val="24"/>
        </w:rPr>
        <w:t>overweight</w:t>
      </w:r>
      <w:r w:rsidR="0056784D" w:rsidRPr="00842FE5">
        <w:rPr>
          <w:rFonts w:ascii="Times New Roman" w:hAnsi="Times New Roman" w:cs="Times New Roman"/>
          <w:color w:val="0D0D0D" w:themeColor="text1" w:themeTint="F2"/>
          <w:sz w:val="24"/>
          <w:szCs w:val="24"/>
        </w:rPr>
        <w:t xml:space="preserve"> </w:t>
      </w:r>
      <w:r w:rsidR="00E35AE9" w:rsidRPr="00842FE5">
        <w:rPr>
          <w:rFonts w:ascii="Times New Roman" w:hAnsi="Times New Roman" w:cs="Times New Roman"/>
          <w:color w:val="0D0D0D" w:themeColor="text1" w:themeTint="F2"/>
          <w:sz w:val="24"/>
          <w:szCs w:val="24"/>
        </w:rPr>
        <w:t>(</w:t>
      </w:r>
      <w:r w:rsidR="00E35AE9" w:rsidRPr="00842FE5">
        <w:rPr>
          <w:rFonts w:ascii="Times New Roman" w:hAnsi="Times New Roman" w:cs="Times New Roman"/>
          <w:b/>
          <w:bCs/>
          <w:color w:val="0D0D0D" w:themeColor="text1" w:themeTint="F2"/>
          <w:sz w:val="24"/>
          <w:szCs w:val="24"/>
        </w:rPr>
        <w:t xml:space="preserve">Table </w:t>
      </w:r>
      <w:r w:rsidR="002A594E" w:rsidRPr="00842FE5">
        <w:rPr>
          <w:rFonts w:ascii="Times New Roman" w:hAnsi="Times New Roman" w:cs="Times New Roman"/>
          <w:b/>
          <w:bCs/>
          <w:color w:val="0D0D0D" w:themeColor="text1" w:themeTint="F2"/>
          <w:sz w:val="24"/>
          <w:szCs w:val="24"/>
        </w:rPr>
        <w:t>2</w:t>
      </w:r>
      <w:r w:rsidR="00E35AE9" w:rsidRPr="00842FE5">
        <w:rPr>
          <w:rFonts w:ascii="Times New Roman" w:hAnsi="Times New Roman" w:cs="Times New Roman"/>
          <w:color w:val="0D0D0D" w:themeColor="text1" w:themeTint="F2"/>
          <w:sz w:val="24"/>
          <w:szCs w:val="24"/>
        </w:rPr>
        <w:t>)</w:t>
      </w:r>
      <w:r w:rsidR="002D0B6E" w:rsidRPr="00842FE5">
        <w:rPr>
          <w:rFonts w:ascii="Times New Roman" w:hAnsi="Times New Roman" w:cs="Times New Roman"/>
          <w:color w:val="0D0D0D" w:themeColor="text1" w:themeTint="F2"/>
          <w:sz w:val="24"/>
          <w:szCs w:val="24"/>
        </w:rPr>
        <w:t xml:space="preserve">. </w:t>
      </w:r>
      <w:r w:rsidR="00AF6385" w:rsidRPr="00842FE5">
        <w:rPr>
          <w:rFonts w:ascii="Times New Roman" w:hAnsi="Times New Roman" w:cs="Times New Roman"/>
          <w:color w:val="0D0D0D" w:themeColor="text1" w:themeTint="F2"/>
          <w:sz w:val="24"/>
          <w:szCs w:val="24"/>
        </w:rPr>
        <w:t xml:space="preserve">More than half of the </w:t>
      </w:r>
      <w:r w:rsidR="00C51DD1" w:rsidRPr="00842FE5">
        <w:rPr>
          <w:rFonts w:ascii="Times New Roman" w:hAnsi="Times New Roman" w:cs="Times New Roman"/>
          <w:color w:val="0D0D0D" w:themeColor="text1" w:themeTint="F2"/>
          <w:sz w:val="24"/>
          <w:szCs w:val="24"/>
        </w:rPr>
        <w:t>participants</w:t>
      </w:r>
      <w:r w:rsidR="00AF6385" w:rsidRPr="00842FE5">
        <w:rPr>
          <w:rFonts w:ascii="Times New Roman" w:hAnsi="Times New Roman" w:cs="Times New Roman"/>
          <w:color w:val="0D0D0D" w:themeColor="text1" w:themeTint="F2"/>
          <w:sz w:val="24"/>
          <w:szCs w:val="24"/>
        </w:rPr>
        <w:t xml:space="preserve"> (66.1%)</w:t>
      </w:r>
      <w:r w:rsidR="00C51DD1" w:rsidRPr="00842FE5">
        <w:rPr>
          <w:rFonts w:ascii="Times New Roman" w:hAnsi="Times New Roman" w:cs="Times New Roman"/>
          <w:color w:val="0D0D0D" w:themeColor="text1" w:themeTint="F2"/>
          <w:sz w:val="24"/>
          <w:szCs w:val="24"/>
        </w:rPr>
        <w:t xml:space="preserve"> had diabetes for more than 10 years and the </w:t>
      </w:r>
      <w:r w:rsidR="00D00604" w:rsidRPr="00842FE5">
        <w:rPr>
          <w:rFonts w:ascii="Times New Roman" w:hAnsi="Times New Roman" w:cs="Times New Roman"/>
          <w:color w:val="0D0D0D" w:themeColor="text1" w:themeTint="F2"/>
          <w:sz w:val="24"/>
          <w:szCs w:val="24"/>
        </w:rPr>
        <w:t xml:space="preserve">mean </w:t>
      </w:r>
      <w:r w:rsidR="00C51DD1" w:rsidRPr="00842FE5">
        <w:rPr>
          <w:rFonts w:ascii="Times New Roman" w:hAnsi="Times New Roman" w:cs="Times New Roman"/>
          <w:color w:val="0D0D0D" w:themeColor="text1" w:themeTint="F2"/>
          <w:sz w:val="24"/>
          <w:szCs w:val="24"/>
        </w:rPr>
        <w:t xml:space="preserve">duration of </w:t>
      </w:r>
      <w:r w:rsidR="00D00604" w:rsidRPr="00842FE5">
        <w:rPr>
          <w:rFonts w:ascii="Times New Roman" w:hAnsi="Times New Roman" w:cs="Times New Roman"/>
          <w:color w:val="0D0D0D" w:themeColor="text1" w:themeTint="F2"/>
          <w:sz w:val="24"/>
          <w:szCs w:val="24"/>
        </w:rPr>
        <w:t>diabetes was 13.11 years</w:t>
      </w:r>
      <w:r w:rsidR="002D0B6E" w:rsidRPr="00842FE5">
        <w:rPr>
          <w:rFonts w:ascii="Times New Roman" w:hAnsi="Times New Roman" w:cs="Times New Roman"/>
          <w:color w:val="0D0D0D" w:themeColor="text1" w:themeTint="F2"/>
          <w:sz w:val="24"/>
          <w:szCs w:val="24"/>
        </w:rPr>
        <w:t xml:space="preserve">. </w:t>
      </w:r>
      <w:r w:rsidR="00C51DD1" w:rsidRPr="00842FE5">
        <w:rPr>
          <w:rFonts w:ascii="Times New Roman" w:hAnsi="Times New Roman" w:cs="Times New Roman"/>
          <w:color w:val="0D0D0D" w:themeColor="text1" w:themeTint="F2"/>
          <w:sz w:val="24"/>
          <w:szCs w:val="24"/>
        </w:rPr>
        <w:t xml:space="preserve">Neuropathy (18.3%), nephropathy (11.0%) and retinopathy (8.6%) were the </w:t>
      </w:r>
      <w:r w:rsidR="004A72B3" w:rsidRPr="00842FE5">
        <w:rPr>
          <w:rFonts w:ascii="Times New Roman" w:hAnsi="Times New Roman" w:cs="Times New Roman"/>
          <w:color w:val="0D0D0D" w:themeColor="text1" w:themeTint="F2"/>
          <w:sz w:val="24"/>
          <w:szCs w:val="24"/>
        </w:rPr>
        <w:t xml:space="preserve">most frequently observed </w:t>
      </w:r>
      <w:r w:rsidR="006B2EF6" w:rsidRPr="00842FE5">
        <w:rPr>
          <w:rFonts w:ascii="Times New Roman" w:hAnsi="Times New Roman" w:cs="Times New Roman"/>
          <w:color w:val="0D0D0D" w:themeColor="text1" w:themeTint="F2"/>
          <w:sz w:val="24"/>
          <w:szCs w:val="24"/>
        </w:rPr>
        <w:t>diabetes</w:t>
      </w:r>
      <w:r w:rsidR="004A72B3" w:rsidRPr="00842FE5">
        <w:rPr>
          <w:rFonts w:ascii="Times New Roman" w:hAnsi="Times New Roman" w:cs="Times New Roman"/>
          <w:color w:val="0D0D0D" w:themeColor="text1" w:themeTint="F2"/>
          <w:sz w:val="24"/>
          <w:szCs w:val="24"/>
        </w:rPr>
        <w:t>-</w:t>
      </w:r>
      <w:r w:rsidR="00152B40" w:rsidRPr="00842FE5">
        <w:rPr>
          <w:rFonts w:ascii="Times New Roman" w:hAnsi="Times New Roman" w:cs="Times New Roman"/>
          <w:color w:val="0D0D0D" w:themeColor="text1" w:themeTint="F2"/>
          <w:sz w:val="24"/>
          <w:szCs w:val="24"/>
        </w:rPr>
        <w:t xml:space="preserve">related </w:t>
      </w:r>
      <w:r w:rsidR="006B2EF6" w:rsidRPr="00842FE5">
        <w:rPr>
          <w:rFonts w:ascii="Times New Roman" w:hAnsi="Times New Roman" w:cs="Times New Roman"/>
          <w:color w:val="0D0D0D" w:themeColor="text1" w:themeTint="F2"/>
          <w:sz w:val="24"/>
          <w:szCs w:val="24"/>
        </w:rPr>
        <w:t>complications</w:t>
      </w:r>
      <w:r w:rsidR="002D0B6E" w:rsidRPr="00842FE5">
        <w:rPr>
          <w:rFonts w:ascii="Times New Roman" w:hAnsi="Times New Roman" w:cs="Times New Roman"/>
          <w:color w:val="0D0D0D" w:themeColor="text1" w:themeTint="F2"/>
          <w:sz w:val="24"/>
          <w:szCs w:val="24"/>
        </w:rPr>
        <w:t xml:space="preserve">. </w:t>
      </w:r>
      <w:r w:rsidR="004B3CE0" w:rsidRPr="00842FE5">
        <w:rPr>
          <w:rFonts w:ascii="Times New Roman" w:hAnsi="Times New Roman" w:cs="Times New Roman"/>
          <w:color w:val="0D0D0D" w:themeColor="text1" w:themeTint="F2"/>
          <w:sz w:val="24"/>
          <w:szCs w:val="24"/>
        </w:rPr>
        <w:t xml:space="preserve">Majority (98.7%) of the participants were on BI treatment, out of which 59.7% were using </w:t>
      </w:r>
      <w:r w:rsidR="00810C45" w:rsidRPr="00842FE5">
        <w:rPr>
          <w:rFonts w:ascii="Times New Roman" w:hAnsi="Times New Roman" w:cs="Times New Roman"/>
          <w:color w:val="0D0D0D" w:themeColor="text1" w:themeTint="F2"/>
          <w:sz w:val="24"/>
          <w:szCs w:val="24"/>
        </w:rPr>
        <w:t xml:space="preserve">Gla-100 </w:t>
      </w:r>
      <w:r w:rsidR="004B3CE0" w:rsidRPr="00842FE5">
        <w:rPr>
          <w:rFonts w:ascii="Times New Roman" w:hAnsi="Times New Roman" w:cs="Times New Roman"/>
          <w:color w:val="0D0D0D" w:themeColor="text1" w:themeTint="F2"/>
          <w:sz w:val="24"/>
          <w:szCs w:val="24"/>
        </w:rPr>
        <w:t>U/mL</w:t>
      </w:r>
      <w:r w:rsidR="00B419C3" w:rsidRPr="00842FE5">
        <w:rPr>
          <w:rFonts w:ascii="Times New Roman" w:hAnsi="Times New Roman" w:cs="Times New Roman"/>
          <w:color w:val="0D0D0D" w:themeColor="text1" w:themeTint="F2"/>
          <w:sz w:val="24"/>
          <w:szCs w:val="24"/>
        </w:rPr>
        <w:t xml:space="preserve"> and </w:t>
      </w:r>
      <w:r w:rsidR="008625A0" w:rsidRPr="00842FE5">
        <w:rPr>
          <w:rFonts w:ascii="Times New Roman" w:hAnsi="Times New Roman" w:cs="Times New Roman"/>
          <w:color w:val="0D0D0D" w:themeColor="text1" w:themeTint="F2"/>
          <w:sz w:val="24"/>
          <w:szCs w:val="24"/>
        </w:rPr>
        <w:t>28.8</w:t>
      </w:r>
      <w:r w:rsidR="00A553D4" w:rsidRPr="00842FE5">
        <w:rPr>
          <w:rFonts w:ascii="Times New Roman" w:hAnsi="Times New Roman" w:cs="Times New Roman"/>
          <w:color w:val="0D0D0D" w:themeColor="text1" w:themeTint="F2"/>
          <w:sz w:val="24"/>
          <w:szCs w:val="24"/>
        </w:rPr>
        <w:t xml:space="preserve">% were using </w:t>
      </w:r>
      <w:r w:rsidR="002A2A38" w:rsidRPr="00842FE5">
        <w:rPr>
          <w:rFonts w:ascii="Times New Roman" w:hAnsi="Times New Roman" w:cs="Times New Roman"/>
          <w:color w:val="0D0D0D" w:themeColor="text1" w:themeTint="F2"/>
          <w:sz w:val="24"/>
          <w:szCs w:val="24"/>
        </w:rPr>
        <w:t>NP</w:t>
      </w:r>
      <w:r w:rsidR="002A2A38" w:rsidRPr="00842FE5">
        <w:rPr>
          <w:rFonts w:ascii="Times New Roman" w:hAnsi="Times New Roman" w:cs="Times New Roman"/>
          <w:color w:val="0D0D0D" w:themeColor="text1" w:themeTint="F2"/>
          <w:sz w:val="24"/>
          <w:szCs w:val="24"/>
          <w:lang w:val="en-IN"/>
        </w:rPr>
        <w:t>H</w:t>
      </w:r>
      <w:r w:rsidR="00740230" w:rsidRPr="00842FE5">
        <w:rPr>
          <w:rFonts w:ascii="Times New Roman" w:hAnsi="Times New Roman" w:cs="Times New Roman"/>
          <w:color w:val="0D0D0D" w:themeColor="text1" w:themeTint="F2"/>
          <w:sz w:val="24"/>
          <w:szCs w:val="24"/>
          <w:lang w:val="en-IN"/>
        </w:rPr>
        <w:t xml:space="preserve"> insulin</w:t>
      </w:r>
      <w:r w:rsidR="002A2A38" w:rsidRPr="00842FE5">
        <w:rPr>
          <w:rFonts w:ascii="Times New Roman" w:hAnsi="Times New Roman" w:cs="Times New Roman"/>
          <w:color w:val="0D0D0D" w:themeColor="text1" w:themeTint="F2"/>
          <w:sz w:val="24"/>
          <w:szCs w:val="24"/>
          <w:lang w:val="en-IN"/>
        </w:rPr>
        <w:t>.</w:t>
      </w:r>
      <w:r w:rsidR="00A553D4" w:rsidRPr="00842FE5">
        <w:rPr>
          <w:rFonts w:ascii="Times New Roman" w:hAnsi="Times New Roman" w:cs="Times New Roman"/>
          <w:color w:val="0D0D0D" w:themeColor="text1" w:themeTint="F2"/>
          <w:sz w:val="24"/>
          <w:szCs w:val="24"/>
        </w:rPr>
        <w:t xml:space="preserve"> </w:t>
      </w:r>
      <w:r w:rsidR="00DA54D5" w:rsidRPr="00842FE5">
        <w:rPr>
          <w:rFonts w:ascii="Times New Roman" w:hAnsi="Times New Roman" w:cs="Times New Roman"/>
          <w:color w:val="0D0D0D" w:themeColor="text1" w:themeTint="F2"/>
          <w:sz w:val="24"/>
          <w:szCs w:val="24"/>
        </w:rPr>
        <w:t xml:space="preserve">A total of </w:t>
      </w:r>
      <w:r w:rsidR="004C4C39" w:rsidRPr="00842FE5">
        <w:rPr>
          <w:rFonts w:ascii="Times New Roman" w:hAnsi="Times New Roman" w:cs="Times New Roman"/>
          <w:color w:val="0D0D0D" w:themeColor="text1" w:themeTint="F2"/>
          <w:sz w:val="24"/>
          <w:szCs w:val="24"/>
        </w:rPr>
        <w:t xml:space="preserve">89.0% of participants were </w:t>
      </w:r>
      <w:r w:rsidR="00095B64" w:rsidRPr="00842FE5">
        <w:rPr>
          <w:rFonts w:ascii="Times New Roman" w:hAnsi="Times New Roman" w:cs="Times New Roman"/>
          <w:color w:val="0D0D0D" w:themeColor="text1" w:themeTint="F2"/>
          <w:sz w:val="24"/>
          <w:szCs w:val="24"/>
        </w:rPr>
        <w:t xml:space="preserve">previously treated with </w:t>
      </w:r>
      <w:r w:rsidR="009A2C97" w:rsidRPr="00842FE5">
        <w:rPr>
          <w:rFonts w:ascii="Times New Roman" w:hAnsi="Times New Roman" w:cs="Times New Roman"/>
          <w:color w:val="0D0D0D" w:themeColor="text1" w:themeTint="F2"/>
          <w:sz w:val="24"/>
          <w:szCs w:val="24"/>
        </w:rPr>
        <w:t>oral</w:t>
      </w:r>
      <w:r w:rsidR="00C65755" w:rsidRPr="00842FE5">
        <w:rPr>
          <w:rFonts w:ascii="Times New Roman" w:hAnsi="Times New Roman" w:cs="Times New Roman"/>
          <w:color w:val="0D0D0D" w:themeColor="text1" w:themeTint="F2"/>
          <w:sz w:val="24"/>
          <w:szCs w:val="24"/>
        </w:rPr>
        <w:t xml:space="preserve"> antidiabetic drug (OAD</w:t>
      </w:r>
      <w:r w:rsidR="0060164A" w:rsidRPr="00842FE5">
        <w:rPr>
          <w:rFonts w:ascii="Times New Roman" w:hAnsi="Times New Roman" w:cs="Times New Roman"/>
          <w:color w:val="0D0D0D" w:themeColor="text1" w:themeTint="F2"/>
          <w:sz w:val="24"/>
          <w:szCs w:val="24"/>
        </w:rPr>
        <w:t>s</w:t>
      </w:r>
      <w:r w:rsidR="00C65755" w:rsidRPr="00842FE5">
        <w:rPr>
          <w:rFonts w:ascii="Times New Roman" w:hAnsi="Times New Roman" w:cs="Times New Roman"/>
          <w:color w:val="0D0D0D" w:themeColor="text1" w:themeTint="F2"/>
          <w:sz w:val="24"/>
          <w:szCs w:val="24"/>
        </w:rPr>
        <w:t>)</w:t>
      </w:r>
      <w:r w:rsidR="00E72079" w:rsidRPr="00842FE5">
        <w:rPr>
          <w:rFonts w:ascii="Times New Roman" w:hAnsi="Times New Roman" w:cs="Times New Roman"/>
          <w:color w:val="0D0D0D" w:themeColor="text1" w:themeTint="F2"/>
          <w:sz w:val="24"/>
          <w:szCs w:val="24"/>
          <w:lang w:val="en-IN"/>
        </w:rPr>
        <w:t xml:space="preserve">. </w:t>
      </w:r>
      <w:r w:rsidR="00885B9B" w:rsidRPr="00842FE5">
        <w:rPr>
          <w:rFonts w:ascii="Times New Roman" w:hAnsi="Times New Roman" w:cs="Times New Roman"/>
          <w:color w:val="0D0D0D" w:themeColor="text1" w:themeTint="F2"/>
          <w:sz w:val="24"/>
          <w:szCs w:val="24"/>
          <w:lang w:val="en-IN"/>
        </w:rPr>
        <w:t>Biguanides were the most commonly used OAD</w:t>
      </w:r>
      <w:r w:rsidR="001F4DA9" w:rsidRPr="00842FE5">
        <w:rPr>
          <w:rFonts w:ascii="Times New Roman" w:hAnsi="Times New Roman" w:cs="Times New Roman"/>
          <w:color w:val="0D0D0D" w:themeColor="text1" w:themeTint="F2"/>
          <w:sz w:val="24"/>
          <w:szCs w:val="24"/>
          <w:lang w:val="en-IN"/>
        </w:rPr>
        <w:t>s</w:t>
      </w:r>
      <w:r w:rsidR="00885B9B" w:rsidRPr="00842FE5">
        <w:rPr>
          <w:rFonts w:ascii="Times New Roman" w:hAnsi="Times New Roman" w:cs="Times New Roman"/>
          <w:color w:val="0D0D0D" w:themeColor="text1" w:themeTint="F2"/>
          <w:sz w:val="24"/>
          <w:szCs w:val="24"/>
          <w:lang w:val="en-IN"/>
        </w:rPr>
        <w:t xml:space="preserve"> at baseline (8</w:t>
      </w:r>
      <w:r w:rsidR="0022621A" w:rsidRPr="00842FE5">
        <w:rPr>
          <w:rFonts w:ascii="Times New Roman" w:hAnsi="Times New Roman" w:cs="Times New Roman"/>
          <w:color w:val="0D0D0D" w:themeColor="text1" w:themeTint="F2"/>
          <w:sz w:val="24"/>
          <w:szCs w:val="24"/>
          <w:lang w:val="en-IN"/>
        </w:rPr>
        <w:t>1.7%</w:t>
      </w:r>
      <w:r w:rsidR="00885B9B" w:rsidRPr="00842FE5">
        <w:rPr>
          <w:rFonts w:ascii="Times New Roman" w:hAnsi="Times New Roman" w:cs="Times New Roman"/>
          <w:color w:val="0D0D0D" w:themeColor="text1" w:themeTint="F2"/>
          <w:sz w:val="24"/>
          <w:szCs w:val="24"/>
          <w:lang w:val="en-IN"/>
        </w:rPr>
        <w:t xml:space="preserve"> of participants), followed by sulfonylureas (3</w:t>
      </w:r>
      <w:r w:rsidR="007B6184" w:rsidRPr="00842FE5">
        <w:rPr>
          <w:rFonts w:ascii="Times New Roman" w:hAnsi="Times New Roman" w:cs="Times New Roman"/>
          <w:color w:val="0D0D0D" w:themeColor="text1" w:themeTint="F2"/>
          <w:sz w:val="24"/>
          <w:szCs w:val="24"/>
          <w:lang w:val="en-IN"/>
        </w:rPr>
        <w:t>4</w:t>
      </w:r>
      <w:r w:rsidR="00885B9B" w:rsidRPr="00842FE5">
        <w:rPr>
          <w:rFonts w:ascii="Times New Roman" w:hAnsi="Times New Roman" w:cs="Times New Roman"/>
          <w:color w:val="0D0D0D" w:themeColor="text1" w:themeTint="F2"/>
          <w:sz w:val="24"/>
          <w:szCs w:val="24"/>
          <w:lang w:val="en-IN"/>
        </w:rPr>
        <w:t>.</w:t>
      </w:r>
      <w:r w:rsidR="00E22AF1" w:rsidRPr="00842FE5">
        <w:rPr>
          <w:rFonts w:ascii="Times New Roman" w:hAnsi="Times New Roman" w:cs="Times New Roman"/>
          <w:color w:val="0D0D0D" w:themeColor="text1" w:themeTint="F2"/>
          <w:sz w:val="24"/>
          <w:szCs w:val="24"/>
          <w:lang w:val="en-IN"/>
        </w:rPr>
        <w:t>7</w:t>
      </w:r>
      <w:r w:rsidR="00885B9B" w:rsidRPr="00842FE5">
        <w:rPr>
          <w:rFonts w:ascii="Times New Roman" w:hAnsi="Times New Roman" w:cs="Times New Roman"/>
          <w:color w:val="0D0D0D" w:themeColor="text1" w:themeTint="F2"/>
          <w:sz w:val="24"/>
          <w:szCs w:val="24"/>
          <w:lang w:val="en-IN"/>
        </w:rPr>
        <w:t>%) and dipeptidylpeptidase-4 inhibitors (</w:t>
      </w:r>
      <w:r w:rsidR="00D53CE6" w:rsidRPr="00842FE5">
        <w:rPr>
          <w:rFonts w:ascii="Times New Roman" w:hAnsi="Times New Roman" w:cs="Times New Roman"/>
          <w:color w:val="0D0D0D" w:themeColor="text1" w:themeTint="F2"/>
          <w:sz w:val="24"/>
          <w:szCs w:val="24"/>
          <w:lang w:val="en-IN"/>
        </w:rPr>
        <w:t>28.5</w:t>
      </w:r>
      <w:r w:rsidR="00885B9B" w:rsidRPr="00842FE5">
        <w:rPr>
          <w:rFonts w:ascii="Times New Roman" w:hAnsi="Times New Roman" w:cs="Times New Roman"/>
          <w:color w:val="0D0D0D" w:themeColor="text1" w:themeTint="F2"/>
          <w:sz w:val="24"/>
          <w:szCs w:val="24"/>
          <w:lang w:val="en-IN"/>
        </w:rPr>
        <w:t>%</w:t>
      </w:r>
      <w:r w:rsidR="00D53CE6" w:rsidRPr="00842FE5">
        <w:rPr>
          <w:rFonts w:ascii="Times New Roman" w:hAnsi="Times New Roman" w:cs="Times New Roman"/>
          <w:color w:val="0D0D0D" w:themeColor="text1" w:themeTint="F2"/>
          <w:sz w:val="24"/>
          <w:szCs w:val="24"/>
          <w:lang w:val="en-IN"/>
        </w:rPr>
        <w:t>)</w:t>
      </w:r>
      <w:r w:rsidR="00DB5E06" w:rsidRPr="00842FE5">
        <w:rPr>
          <w:rFonts w:ascii="Times New Roman" w:hAnsi="Times New Roman" w:cs="Times New Roman"/>
          <w:color w:val="0D0D0D" w:themeColor="text1" w:themeTint="F2"/>
          <w:sz w:val="24"/>
          <w:szCs w:val="24"/>
          <w:lang w:val="en-IN"/>
        </w:rPr>
        <w:t>.</w:t>
      </w:r>
    </w:p>
    <w:p w14:paraId="1CB458BB" w14:textId="704E97F4" w:rsidR="0043191E" w:rsidRPr="00842FE5" w:rsidRDefault="00063233" w:rsidP="003858C4">
      <w:pPr>
        <w:pStyle w:val="ListParagraph"/>
        <w:tabs>
          <w:tab w:val="left" w:pos="3441"/>
        </w:tabs>
        <w:spacing w:line="480" w:lineRule="auto"/>
        <w:ind w:left="0"/>
        <w:rPr>
          <w:rFonts w:ascii="Times New Roman" w:hAnsi="Times New Roman" w:cs="Times New Roman"/>
          <w:color w:val="0D0D0D" w:themeColor="text1" w:themeTint="F2"/>
          <w:sz w:val="24"/>
          <w:szCs w:val="24"/>
        </w:rPr>
      </w:pPr>
      <w:r w:rsidRPr="00842FE5">
        <w:rPr>
          <w:rFonts w:ascii="Times New Roman" w:hAnsi="Times New Roman" w:cs="Times New Roman"/>
          <w:b/>
          <w:bCs/>
          <w:i/>
          <w:iCs/>
          <w:color w:val="0D0D0D" w:themeColor="text1" w:themeTint="F2"/>
          <w:sz w:val="24"/>
          <w:szCs w:val="24"/>
        </w:rPr>
        <w:t xml:space="preserve">Glycaemic endpoints </w:t>
      </w:r>
    </w:p>
    <w:p w14:paraId="28225B09" w14:textId="51A65AB9" w:rsidR="00D701CA" w:rsidRPr="00842FE5" w:rsidRDefault="0060164A" w:rsidP="003858C4">
      <w:pPr>
        <w:tabs>
          <w:tab w:val="left" w:pos="3441"/>
        </w:tabs>
        <w:spacing w:line="480" w:lineRule="auto"/>
        <w:rPr>
          <w:rFonts w:ascii="Times New Roman" w:hAnsi="Times New Roman" w:cs="Times New Roman"/>
          <w:i/>
          <w:iCs/>
          <w:color w:val="0D0D0D" w:themeColor="text1" w:themeTint="F2"/>
          <w:sz w:val="24"/>
          <w:szCs w:val="24"/>
        </w:rPr>
      </w:pPr>
      <w:r w:rsidRPr="00842FE5">
        <w:rPr>
          <w:rFonts w:ascii="Times New Roman" w:hAnsi="Times New Roman" w:cs="Times New Roman"/>
          <w:i/>
          <w:iCs/>
          <w:color w:val="0D0D0D" w:themeColor="text1" w:themeTint="F2"/>
          <w:sz w:val="24"/>
          <w:szCs w:val="24"/>
        </w:rPr>
        <w:t>Glycated Haemoglobin (</w:t>
      </w:r>
      <w:r w:rsidR="00D701CA" w:rsidRPr="00842FE5">
        <w:rPr>
          <w:rFonts w:ascii="Times New Roman" w:hAnsi="Times New Roman" w:cs="Times New Roman"/>
          <w:i/>
          <w:iCs/>
          <w:color w:val="0D0D0D" w:themeColor="text1" w:themeTint="F2"/>
          <w:sz w:val="24"/>
          <w:szCs w:val="24"/>
        </w:rPr>
        <w:t>HbA</w:t>
      </w:r>
      <w:r w:rsidR="00D701CA" w:rsidRPr="00842FE5">
        <w:rPr>
          <w:rFonts w:ascii="Times New Roman" w:hAnsi="Times New Roman" w:cs="Times New Roman"/>
          <w:i/>
          <w:iCs/>
          <w:color w:val="0D0D0D" w:themeColor="text1" w:themeTint="F2"/>
          <w:sz w:val="24"/>
          <w:szCs w:val="24"/>
          <w:vertAlign w:val="subscript"/>
        </w:rPr>
        <w:t>1c</w:t>
      </w:r>
      <w:r w:rsidRPr="00842FE5">
        <w:rPr>
          <w:rFonts w:ascii="Times New Roman" w:hAnsi="Times New Roman" w:cs="Times New Roman"/>
          <w:i/>
          <w:iCs/>
          <w:color w:val="0D0D0D" w:themeColor="text1" w:themeTint="F2"/>
          <w:sz w:val="24"/>
          <w:szCs w:val="24"/>
        </w:rPr>
        <w:t>)</w:t>
      </w:r>
      <w:r w:rsidR="00373FFC" w:rsidRPr="00842FE5">
        <w:rPr>
          <w:rFonts w:ascii="Times New Roman" w:hAnsi="Times New Roman" w:cs="Times New Roman"/>
          <w:i/>
          <w:iCs/>
          <w:color w:val="0D0D0D" w:themeColor="text1" w:themeTint="F2"/>
          <w:sz w:val="24"/>
          <w:szCs w:val="24"/>
          <w:vertAlign w:val="subscript"/>
        </w:rPr>
        <w:t xml:space="preserve"> </w:t>
      </w:r>
    </w:p>
    <w:p w14:paraId="70A8C447" w14:textId="6AB95812" w:rsidR="00FF5B97" w:rsidRPr="00842FE5" w:rsidRDefault="00430CCA" w:rsidP="003858C4">
      <w:pPr>
        <w:pStyle w:val="ListParagraph"/>
        <w:tabs>
          <w:tab w:val="left" w:pos="3441"/>
        </w:tabs>
        <w:spacing w:line="480" w:lineRule="auto"/>
        <w:ind w:left="0"/>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T</w:t>
      </w:r>
      <w:r w:rsidR="00A42CAE" w:rsidRPr="00842FE5">
        <w:rPr>
          <w:rFonts w:ascii="Times New Roman" w:hAnsi="Times New Roman" w:cs="Times New Roman"/>
          <w:color w:val="0D0D0D" w:themeColor="text1" w:themeTint="F2"/>
          <w:sz w:val="24"/>
          <w:szCs w:val="24"/>
        </w:rPr>
        <w:t>he m</w:t>
      </w:r>
      <w:r w:rsidR="00F00371" w:rsidRPr="00842FE5">
        <w:rPr>
          <w:rFonts w:ascii="Times New Roman" w:hAnsi="Times New Roman" w:cs="Times New Roman"/>
          <w:color w:val="0D0D0D" w:themeColor="text1" w:themeTint="F2"/>
          <w:sz w:val="24"/>
          <w:szCs w:val="24"/>
        </w:rPr>
        <w:t>ean (</w:t>
      </w:r>
      <w:r w:rsidR="004C52FF" w:rsidRPr="00842FE5">
        <w:rPr>
          <w:rFonts w:ascii="Times New Roman" w:hAnsi="Times New Roman" w:cs="Times New Roman"/>
          <w:color w:val="0D0D0D" w:themeColor="text1" w:themeTint="F2"/>
          <w:sz w:val="24"/>
          <w:szCs w:val="24"/>
        </w:rPr>
        <w:t xml:space="preserve">± </w:t>
      </w:r>
      <w:r w:rsidR="00F00371" w:rsidRPr="00842FE5">
        <w:rPr>
          <w:rFonts w:ascii="Times New Roman" w:hAnsi="Times New Roman" w:cs="Times New Roman"/>
          <w:color w:val="0D0D0D" w:themeColor="text1" w:themeTint="F2"/>
          <w:sz w:val="24"/>
          <w:szCs w:val="24"/>
        </w:rPr>
        <w:t>SD) HbA</w:t>
      </w:r>
      <w:r w:rsidR="00F00371" w:rsidRPr="00842FE5">
        <w:rPr>
          <w:rFonts w:ascii="Times New Roman" w:hAnsi="Times New Roman" w:cs="Times New Roman"/>
          <w:color w:val="0D0D0D" w:themeColor="text1" w:themeTint="F2"/>
          <w:sz w:val="24"/>
          <w:szCs w:val="24"/>
          <w:vertAlign w:val="subscript"/>
        </w:rPr>
        <w:t>1c</w:t>
      </w:r>
      <w:r w:rsidR="00F00371" w:rsidRPr="00842FE5">
        <w:rPr>
          <w:rFonts w:ascii="Times New Roman" w:hAnsi="Times New Roman" w:cs="Times New Roman"/>
          <w:color w:val="0D0D0D" w:themeColor="text1" w:themeTint="F2"/>
          <w:sz w:val="24"/>
          <w:szCs w:val="24"/>
        </w:rPr>
        <w:t xml:space="preserve"> reduced from 8.67 </w:t>
      </w:r>
      <w:r w:rsidR="004C52FF" w:rsidRPr="00842FE5">
        <w:rPr>
          <w:rFonts w:ascii="Times New Roman" w:hAnsi="Times New Roman" w:cs="Times New Roman"/>
          <w:color w:val="0D0D0D" w:themeColor="text1" w:themeTint="F2"/>
          <w:sz w:val="24"/>
          <w:szCs w:val="24"/>
        </w:rPr>
        <w:t>±</w:t>
      </w:r>
      <w:r w:rsidR="004C52FF" w:rsidRPr="00842FE5" w:rsidDel="004C52FF">
        <w:rPr>
          <w:rFonts w:ascii="Times New Roman" w:hAnsi="Times New Roman" w:cs="Times New Roman"/>
          <w:color w:val="0D0D0D" w:themeColor="text1" w:themeTint="F2"/>
          <w:sz w:val="24"/>
          <w:szCs w:val="24"/>
        </w:rPr>
        <w:t xml:space="preserve"> </w:t>
      </w:r>
      <w:r w:rsidR="00F00371" w:rsidRPr="00842FE5">
        <w:rPr>
          <w:rFonts w:ascii="Times New Roman" w:hAnsi="Times New Roman" w:cs="Times New Roman"/>
          <w:color w:val="0D0D0D" w:themeColor="text1" w:themeTint="F2"/>
          <w:sz w:val="24"/>
          <w:szCs w:val="24"/>
        </w:rPr>
        <w:t>0.77%</w:t>
      </w:r>
      <w:r w:rsidR="00C51A2E">
        <w:rPr>
          <w:rFonts w:ascii="Times New Roman" w:hAnsi="Times New Roman" w:cs="Times New Roman"/>
          <w:color w:val="0D0D0D" w:themeColor="text1" w:themeTint="F2"/>
          <w:sz w:val="24"/>
          <w:szCs w:val="24"/>
        </w:rPr>
        <w:t xml:space="preserve"> </w:t>
      </w:r>
      <w:r w:rsidR="000F7F9C">
        <w:rPr>
          <w:rFonts w:ascii="Times New Roman" w:hAnsi="Times New Roman" w:cs="Times New Roman"/>
          <w:color w:val="0D0D0D" w:themeColor="text1" w:themeTint="F2"/>
          <w:sz w:val="24"/>
          <w:szCs w:val="24"/>
        </w:rPr>
        <w:t>(</w:t>
      </w:r>
      <w:r w:rsidR="00C51A2E" w:rsidRPr="00C51A2E">
        <w:rPr>
          <w:rFonts w:ascii="Times New Roman" w:hAnsi="Times New Roman" w:cs="Times New Roman"/>
          <w:color w:val="0D0D0D" w:themeColor="text1" w:themeTint="F2"/>
          <w:sz w:val="24"/>
          <w:szCs w:val="24"/>
        </w:rPr>
        <w:t xml:space="preserve">71.22 </w:t>
      </w:r>
      <w:r w:rsidR="00C51A2E" w:rsidRPr="00842FE5">
        <w:rPr>
          <w:rFonts w:ascii="Times New Roman" w:hAnsi="Times New Roman" w:cs="Times New Roman"/>
          <w:color w:val="0D0D0D" w:themeColor="text1" w:themeTint="F2"/>
          <w:sz w:val="24"/>
          <w:szCs w:val="24"/>
        </w:rPr>
        <w:t>±</w:t>
      </w:r>
      <w:r w:rsidR="00C51A2E">
        <w:rPr>
          <w:rFonts w:ascii="Times New Roman" w:hAnsi="Times New Roman" w:cs="Times New Roman"/>
          <w:color w:val="0D0D0D" w:themeColor="text1" w:themeTint="F2"/>
          <w:sz w:val="24"/>
          <w:szCs w:val="24"/>
        </w:rPr>
        <w:t xml:space="preserve"> </w:t>
      </w:r>
      <w:r w:rsidR="00C51A2E" w:rsidRPr="00C51A2E">
        <w:rPr>
          <w:rFonts w:ascii="Times New Roman" w:hAnsi="Times New Roman" w:cs="Times New Roman"/>
          <w:color w:val="0D0D0D" w:themeColor="text1" w:themeTint="F2"/>
          <w:sz w:val="24"/>
          <w:szCs w:val="24"/>
        </w:rPr>
        <w:t>8.44 mmol/mol</w:t>
      </w:r>
      <w:r w:rsidR="000F7F9C">
        <w:rPr>
          <w:rFonts w:ascii="Times New Roman" w:hAnsi="Times New Roman" w:cs="Times New Roman"/>
          <w:color w:val="0D0D0D" w:themeColor="text1" w:themeTint="F2"/>
          <w:sz w:val="24"/>
          <w:szCs w:val="24"/>
        </w:rPr>
        <w:t xml:space="preserve">) </w:t>
      </w:r>
      <w:r w:rsidR="00F00371" w:rsidRPr="00842FE5">
        <w:rPr>
          <w:rFonts w:ascii="Times New Roman" w:hAnsi="Times New Roman" w:cs="Times New Roman"/>
          <w:color w:val="0D0D0D" w:themeColor="text1" w:themeTint="F2"/>
          <w:sz w:val="24"/>
          <w:szCs w:val="24"/>
        </w:rPr>
        <w:t xml:space="preserve">at baseline </w:t>
      </w:r>
      <w:r w:rsidR="005C62CD">
        <w:rPr>
          <w:rFonts w:ascii="Times New Roman" w:hAnsi="Times New Roman" w:cs="Times New Roman"/>
          <w:color w:val="0D0D0D" w:themeColor="text1" w:themeTint="F2"/>
          <w:sz w:val="24"/>
          <w:szCs w:val="24"/>
        </w:rPr>
        <w:t xml:space="preserve">(n=372) </w:t>
      </w:r>
      <w:r w:rsidR="00F00371" w:rsidRPr="00842FE5">
        <w:rPr>
          <w:rFonts w:ascii="Times New Roman" w:hAnsi="Times New Roman" w:cs="Times New Roman"/>
          <w:color w:val="0D0D0D" w:themeColor="text1" w:themeTint="F2"/>
          <w:sz w:val="24"/>
          <w:szCs w:val="24"/>
        </w:rPr>
        <w:t xml:space="preserve">to </w:t>
      </w:r>
      <w:r w:rsidR="00140520" w:rsidRPr="00842FE5">
        <w:rPr>
          <w:rFonts w:ascii="Times New Roman" w:hAnsi="Times New Roman" w:cs="Times New Roman"/>
          <w:color w:val="0D0D0D" w:themeColor="text1" w:themeTint="F2"/>
          <w:sz w:val="24"/>
          <w:szCs w:val="24"/>
        </w:rPr>
        <w:t>8.04</w:t>
      </w:r>
      <w:r w:rsidR="00024CD3" w:rsidRPr="00842FE5">
        <w:rPr>
          <w:rFonts w:ascii="Times New Roman" w:hAnsi="Times New Roman" w:cs="Times New Roman"/>
          <w:color w:val="0D0D0D" w:themeColor="text1" w:themeTint="F2"/>
          <w:sz w:val="24"/>
          <w:szCs w:val="24"/>
        </w:rPr>
        <w:t xml:space="preserve"> </w:t>
      </w:r>
      <w:r w:rsidR="004C52FF" w:rsidRPr="00842FE5">
        <w:rPr>
          <w:rFonts w:ascii="Times New Roman" w:hAnsi="Times New Roman" w:cs="Times New Roman"/>
          <w:color w:val="0D0D0D" w:themeColor="text1" w:themeTint="F2"/>
          <w:sz w:val="24"/>
          <w:szCs w:val="24"/>
        </w:rPr>
        <w:t>±</w:t>
      </w:r>
      <w:r w:rsidR="004C52FF" w:rsidRPr="00842FE5" w:rsidDel="004C52FF">
        <w:rPr>
          <w:rFonts w:ascii="Times New Roman" w:hAnsi="Times New Roman" w:cs="Times New Roman"/>
          <w:color w:val="0D0D0D" w:themeColor="text1" w:themeTint="F2"/>
          <w:sz w:val="24"/>
          <w:szCs w:val="24"/>
        </w:rPr>
        <w:t xml:space="preserve"> </w:t>
      </w:r>
      <w:r w:rsidR="00024CD3" w:rsidRPr="00842FE5">
        <w:rPr>
          <w:rFonts w:ascii="Times New Roman" w:hAnsi="Times New Roman" w:cs="Times New Roman"/>
          <w:color w:val="0D0D0D" w:themeColor="text1" w:themeTint="F2"/>
          <w:sz w:val="24"/>
          <w:szCs w:val="24"/>
        </w:rPr>
        <w:t>1.11%</w:t>
      </w:r>
      <w:r w:rsidR="00126362">
        <w:rPr>
          <w:rFonts w:ascii="Times New Roman" w:hAnsi="Times New Roman" w:cs="Times New Roman"/>
          <w:color w:val="0D0D0D" w:themeColor="text1" w:themeTint="F2"/>
          <w:sz w:val="24"/>
          <w:szCs w:val="24"/>
        </w:rPr>
        <w:t xml:space="preserve"> </w:t>
      </w:r>
      <w:r w:rsidR="000F7F9C">
        <w:rPr>
          <w:rFonts w:ascii="Times New Roman" w:hAnsi="Times New Roman" w:cs="Times New Roman"/>
          <w:color w:val="0D0D0D" w:themeColor="text1" w:themeTint="F2"/>
          <w:sz w:val="24"/>
          <w:szCs w:val="24"/>
        </w:rPr>
        <w:t>(</w:t>
      </w:r>
      <w:r w:rsidR="00126362" w:rsidRPr="00126362">
        <w:rPr>
          <w:rFonts w:ascii="Times New Roman" w:hAnsi="Times New Roman" w:cs="Times New Roman"/>
          <w:color w:val="0D0D0D" w:themeColor="text1" w:themeTint="F2"/>
          <w:sz w:val="24"/>
          <w:szCs w:val="24"/>
        </w:rPr>
        <w:t>64.43</w:t>
      </w:r>
      <w:r w:rsidR="00126362">
        <w:rPr>
          <w:rFonts w:ascii="Times New Roman" w:hAnsi="Times New Roman" w:cs="Times New Roman"/>
          <w:color w:val="0D0D0D" w:themeColor="text1" w:themeTint="F2"/>
          <w:sz w:val="24"/>
          <w:szCs w:val="24"/>
        </w:rPr>
        <w:t xml:space="preserve"> </w:t>
      </w:r>
      <w:r w:rsidR="00126362" w:rsidRPr="00842FE5">
        <w:rPr>
          <w:rFonts w:ascii="Times New Roman" w:hAnsi="Times New Roman" w:cs="Times New Roman"/>
          <w:color w:val="0D0D0D" w:themeColor="text1" w:themeTint="F2"/>
          <w:sz w:val="24"/>
          <w:szCs w:val="24"/>
        </w:rPr>
        <w:t>±</w:t>
      </w:r>
      <w:r w:rsidR="00126362" w:rsidRPr="00126362">
        <w:rPr>
          <w:rFonts w:ascii="Times New Roman" w:hAnsi="Times New Roman" w:cs="Times New Roman"/>
          <w:color w:val="0D0D0D" w:themeColor="text1" w:themeTint="F2"/>
          <w:sz w:val="24"/>
          <w:szCs w:val="24"/>
        </w:rPr>
        <w:t xml:space="preserve"> 12.17 mmol/mol</w:t>
      </w:r>
      <w:r w:rsidR="003B0266">
        <w:rPr>
          <w:rFonts w:ascii="Times New Roman" w:hAnsi="Times New Roman" w:cs="Times New Roman"/>
          <w:color w:val="0D0D0D" w:themeColor="text1" w:themeTint="F2"/>
          <w:sz w:val="24"/>
          <w:szCs w:val="24"/>
        </w:rPr>
        <w:t>)</w:t>
      </w:r>
      <w:r w:rsidR="00024CD3" w:rsidRPr="00842FE5">
        <w:rPr>
          <w:rFonts w:ascii="Times New Roman" w:hAnsi="Times New Roman" w:cs="Times New Roman"/>
          <w:color w:val="0D0D0D" w:themeColor="text1" w:themeTint="F2"/>
          <w:sz w:val="24"/>
          <w:szCs w:val="24"/>
        </w:rPr>
        <w:t xml:space="preserve"> </w:t>
      </w:r>
      <w:r w:rsidR="00E81B49" w:rsidRPr="00842FE5">
        <w:rPr>
          <w:rFonts w:ascii="Times New Roman" w:hAnsi="Times New Roman" w:cs="Times New Roman"/>
          <w:color w:val="0D0D0D" w:themeColor="text1" w:themeTint="F2"/>
          <w:sz w:val="24"/>
          <w:szCs w:val="24"/>
        </w:rPr>
        <w:t xml:space="preserve">at </w:t>
      </w:r>
      <w:r w:rsidR="008A6E19" w:rsidRPr="00842FE5">
        <w:rPr>
          <w:rFonts w:ascii="Times New Roman" w:hAnsi="Times New Roman" w:cs="Times New Roman"/>
          <w:color w:val="0D0D0D" w:themeColor="text1" w:themeTint="F2"/>
          <w:sz w:val="24"/>
          <w:szCs w:val="24"/>
        </w:rPr>
        <w:t>W</w:t>
      </w:r>
      <w:r w:rsidR="00E81B49" w:rsidRPr="00842FE5">
        <w:rPr>
          <w:rFonts w:ascii="Times New Roman" w:hAnsi="Times New Roman" w:cs="Times New Roman"/>
          <w:color w:val="0D0D0D" w:themeColor="text1" w:themeTint="F2"/>
          <w:sz w:val="24"/>
          <w:szCs w:val="24"/>
        </w:rPr>
        <w:t>eek 12</w:t>
      </w:r>
      <w:r w:rsidR="00126362">
        <w:rPr>
          <w:rFonts w:ascii="Times New Roman" w:hAnsi="Times New Roman" w:cs="Times New Roman"/>
          <w:color w:val="0D0D0D" w:themeColor="text1" w:themeTint="F2"/>
          <w:sz w:val="24"/>
          <w:szCs w:val="24"/>
        </w:rPr>
        <w:t xml:space="preserve"> (n=</w:t>
      </w:r>
      <w:r w:rsidR="00B605AB">
        <w:rPr>
          <w:rFonts w:ascii="Times New Roman" w:hAnsi="Times New Roman" w:cs="Times New Roman"/>
          <w:color w:val="0D0D0D" w:themeColor="text1" w:themeTint="F2"/>
          <w:sz w:val="24"/>
          <w:szCs w:val="24"/>
        </w:rPr>
        <w:t>329</w:t>
      </w:r>
      <w:r w:rsidR="00126362">
        <w:rPr>
          <w:rFonts w:ascii="Times New Roman" w:hAnsi="Times New Roman" w:cs="Times New Roman"/>
          <w:color w:val="0D0D0D" w:themeColor="text1" w:themeTint="F2"/>
          <w:sz w:val="24"/>
          <w:szCs w:val="24"/>
        </w:rPr>
        <w:t>)</w:t>
      </w:r>
      <w:r w:rsidR="00E81B49" w:rsidRPr="00842FE5">
        <w:rPr>
          <w:rFonts w:ascii="Times New Roman" w:hAnsi="Times New Roman" w:cs="Times New Roman"/>
          <w:color w:val="0D0D0D" w:themeColor="text1" w:themeTint="F2"/>
          <w:sz w:val="24"/>
          <w:szCs w:val="24"/>
        </w:rPr>
        <w:t xml:space="preserve"> </w:t>
      </w:r>
      <w:r w:rsidR="00024CD3" w:rsidRPr="00842FE5">
        <w:rPr>
          <w:rFonts w:ascii="Times New Roman" w:hAnsi="Times New Roman" w:cs="Times New Roman"/>
          <w:color w:val="0D0D0D" w:themeColor="text1" w:themeTint="F2"/>
          <w:sz w:val="24"/>
          <w:szCs w:val="24"/>
        </w:rPr>
        <w:t xml:space="preserve">and </w:t>
      </w:r>
      <w:r w:rsidR="00F00371" w:rsidRPr="00842FE5">
        <w:rPr>
          <w:rFonts w:ascii="Times New Roman" w:hAnsi="Times New Roman" w:cs="Times New Roman"/>
          <w:color w:val="0D0D0D" w:themeColor="text1" w:themeTint="F2"/>
          <w:sz w:val="24"/>
          <w:szCs w:val="24"/>
        </w:rPr>
        <w:t xml:space="preserve">7.87 </w:t>
      </w:r>
      <w:r w:rsidR="005B3487" w:rsidRPr="00842FE5">
        <w:rPr>
          <w:rFonts w:ascii="Times New Roman" w:hAnsi="Times New Roman" w:cs="Times New Roman"/>
          <w:color w:val="0D0D0D" w:themeColor="text1" w:themeTint="F2"/>
          <w:sz w:val="24"/>
          <w:szCs w:val="24"/>
        </w:rPr>
        <w:t xml:space="preserve">± </w:t>
      </w:r>
      <w:r w:rsidR="00F00371" w:rsidRPr="00842FE5">
        <w:rPr>
          <w:rFonts w:ascii="Times New Roman" w:hAnsi="Times New Roman" w:cs="Times New Roman"/>
          <w:color w:val="0D0D0D" w:themeColor="text1" w:themeTint="F2"/>
          <w:sz w:val="24"/>
          <w:szCs w:val="24"/>
        </w:rPr>
        <w:t>1.13%</w:t>
      </w:r>
      <w:r w:rsidR="00B605AB">
        <w:rPr>
          <w:rFonts w:ascii="Times New Roman" w:hAnsi="Times New Roman" w:cs="Times New Roman"/>
          <w:color w:val="0D0D0D" w:themeColor="text1" w:themeTint="F2"/>
          <w:sz w:val="24"/>
          <w:szCs w:val="24"/>
        </w:rPr>
        <w:t xml:space="preserve"> </w:t>
      </w:r>
      <w:r w:rsidR="003B0266">
        <w:rPr>
          <w:rFonts w:ascii="Times New Roman" w:hAnsi="Times New Roman" w:cs="Times New Roman"/>
          <w:color w:val="0D0D0D" w:themeColor="text1" w:themeTint="F2"/>
          <w:sz w:val="24"/>
          <w:szCs w:val="24"/>
        </w:rPr>
        <w:t>(</w:t>
      </w:r>
      <w:r w:rsidR="00B605AB" w:rsidRPr="00B605AB">
        <w:rPr>
          <w:rFonts w:ascii="Times New Roman" w:hAnsi="Times New Roman" w:cs="Times New Roman"/>
          <w:color w:val="0D0D0D" w:themeColor="text1" w:themeTint="F2"/>
          <w:sz w:val="24"/>
          <w:szCs w:val="24"/>
        </w:rPr>
        <w:t xml:space="preserve">62.50 </w:t>
      </w:r>
      <w:r w:rsidR="00B605AB" w:rsidRPr="00842FE5">
        <w:rPr>
          <w:rFonts w:ascii="Times New Roman" w:hAnsi="Times New Roman" w:cs="Times New Roman"/>
          <w:color w:val="0D0D0D" w:themeColor="text1" w:themeTint="F2"/>
          <w:sz w:val="24"/>
          <w:szCs w:val="24"/>
        </w:rPr>
        <w:t>±</w:t>
      </w:r>
      <w:r w:rsidR="00B605AB" w:rsidRPr="00B605AB">
        <w:rPr>
          <w:rFonts w:ascii="Times New Roman" w:hAnsi="Times New Roman" w:cs="Times New Roman"/>
          <w:color w:val="0D0D0D" w:themeColor="text1" w:themeTint="F2"/>
          <w:sz w:val="24"/>
          <w:szCs w:val="24"/>
        </w:rPr>
        <w:t xml:space="preserve"> 12.31 mmol/mol</w:t>
      </w:r>
      <w:r w:rsidR="003B0266">
        <w:rPr>
          <w:rFonts w:ascii="Times New Roman" w:hAnsi="Times New Roman" w:cs="Times New Roman"/>
          <w:color w:val="0D0D0D" w:themeColor="text1" w:themeTint="F2"/>
          <w:sz w:val="24"/>
          <w:szCs w:val="24"/>
        </w:rPr>
        <w:t xml:space="preserve">) </w:t>
      </w:r>
      <w:r w:rsidR="00F00371" w:rsidRPr="00842FE5">
        <w:rPr>
          <w:rFonts w:ascii="Times New Roman" w:hAnsi="Times New Roman" w:cs="Times New Roman"/>
          <w:color w:val="0D0D0D" w:themeColor="text1" w:themeTint="F2"/>
          <w:sz w:val="24"/>
          <w:szCs w:val="24"/>
        </w:rPr>
        <w:t>at Week 26</w:t>
      </w:r>
      <w:r w:rsidR="00B605AB">
        <w:rPr>
          <w:rFonts w:ascii="Times New Roman" w:hAnsi="Times New Roman" w:cs="Times New Roman"/>
          <w:color w:val="0D0D0D" w:themeColor="text1" w:themeTint="F2"/>
          <w:sz w:val="24"/>
          <w:szCs w:val="24"/>
        </w:rPr>
        <w:t xml:space="preserve"> (n=</w:t>
      </w:r>
      <w:r w:rsidR="00261E16">
        <w:rPr>
          <w:rFonts w:ascii="Times New Roman" w:hAnsi="Times New Roman" w:cs="Times New Roman"/>
          <w:color w:val="0D0D0D" w:themeColor="text1" w:themeTint="F2"/>
          <w:sz w:val="24"/>
          <w:szCs w:val="24"/>
        </w:rPr>
        <w:t>355</w:t>
      </w:r>
      <w:r w:rsidR="00B605AB">
        <w:rPr>
          <w:rFonts w:ascii="Times New Roman" w:hAnsi="Times New Roman" w:cs="Times New Roman"/>
          <w:color w:val="0D0D0D" w:themeColor="text1" w:themeTint="F2"/>
          <w:sz w:val="24"/>
          <w:szCs w:val="24"/>
        </w:rPr>
        <w:t>)</w:t>
      </w:r>
      <w:r w:rsidR="0047370C" w:rsidRPr="00842FE5">
        <w:rPr>
          <w:rFonts w:ascii="Times New Roman" w:hAnsi="Times New Roman" w:cs="Times New Roman"/>
          <w:color w:val="0D0D0D" w:themeColor="text1" w:themeTint="F2"/>
          <w:sz w:val="24"/>
          <w:szCs w:val="24"/>
        </w:rPr>
        <w:t>.</w:t>
      </w:r>
      <w:r w:rsidR="00A42CAE" w:rsidRPr="00842FE5">
        <w:rPr>
          <w:rFonts w:ascii="Times New Roman" w:hAnsi="Times New Roman" w:cs="Times New Roman"/>
          <w:color w:val="0D0D0D" w:themeColor="text1" w:themeTint="F2"/>
          <w:sz w:val="24"/>
          <w:szCs w:val="24"/>
        </w:rPr>
        <w:t xml:space="preserve"> </w:t>
      </w:r>
      <w:r w:rsidR="00A132BA" w:rsidRPr="00842FE5">
        <w:rPr>
          <w:rFonts w:ascii="Times New Roman" w:hAnsi="Times New Roman" w:cs="Times New Roman"/>
          <w:color w:val="0D0D0D" w:themeColor="text1" w:themeTint="F2"/>
          <w:sz w:val="24"/>
          <w:szCs w:val="24"/>
        </w:rPr>
        <w:t xml:space="preserve">The </w:t>
      </w:r>
      <w:r w:rsidR="00AC4EB5" w:rsidRPr="00842FE5">
        <w:rPr>
          <w:rFonts w:ascii="Times New Roman" w:hAnsi="Times New Roman" w:cs="Times New Roman"/>
          <w:color w:val="0D0D0D" w:themeColor="text1" w:themeTint="F2"/>
          <w:sz w:val="24"/>
          <w:szCs w:val="24"/>
        </w:rPr>
        <w:t>LS</w:t>
      </w:r>
      <w:r w:rsidR="00F331D7">
        <w:rPr>
          <w:rFonts w:ascii="Times New Roman" w:hAnsi="Times New Roman" w:cs="Times New Roman"/>
          <w:color w:val="0D0D0D" w:themeColor="text1" w:themeTint="F2"/>
          <w:sz w:val="24"/>
          <w:szCs w:val="24"/>
        </w:rPr>
        <w:t xml:space="preserve"> </w:t>
      </w:r>
      <w:r w:rsidR="00AC4EB5" w:rsidRPr="00842FE5">
        <w:rPr>
          <w:rFonts w:ascii="Times New Roman" w:hAnsi="Times New Roman" w:cs="Times New Roman"/>
          <w:color w:val="0D0D0D" w:themeColor="text1" w:themeTint="F2"/>
          <w:sz w:val="24"/>
          <w:szCs w:val="24"/>
        </w:rPr>
        <w:t>mean</w:t>
      </w:r>
      <w:r w:rsidR="00DA4B80" w:rsidRPr="00842FE5">
        <w:rPr>
          <w:rFonts w:ascii="Times New Roman" w:hAnsi="Times New Roman" w:cs="Times New Roman"/>
          <w:color w:val="0D0D0D" w:themeColor="text1" w:themeTint="F2"/>
          <w:sz w:val="24"/>
          <w:szCs w:val="24"/>
        </w:rPr>
        <w:t xml:space="preserve"> </w:t>
      </w:r>
      <w:r w:rsidR="005B3487" w:rsidRPr="00842FE5">
        <w:rPr>
          <w:rFonts w:ascii="Times New Roman" w:hAnsi="Times New Roman" w:cs="Times New Roman"/>
          <w:color w:val="0D0D0D" w:themeColor="text1" w:themeTint="F2"/>
          <w:sz w:val="24"/>
          <w:szCs w:val="24"/>
        </w:rPr>
        <w:t xml:space="preserve">change </w:t>
      </w:r>
      <w:r w:rsidR="00DA4B80" w:rsidRPr="00842FE5">
        <w:rPr>
          <w:rFonts w:ascii="Times New Roman" w:hAnsi="Times New Roman" w:cs="Times New Roman"/>
          <w:color w:val="0D0D0D" w:themeColor="text1" w:themeTint="F2"/>
          <w:sz w:val="24"/>
          <w:szCs w:val="24"/>
        </w:rPr>
        <w:t>(95% CI)</w:t>
      </w:r>
      <w:r w:rsidR="00AC4EB5" w:rsidRPr="00842FE5">
        <w:rPr>
          <w:rFonts w:ascii="Times New Roman" w:hAnsi="Times New Roman" w:cs="Times New Roman"/>
          <w:color w:val="0D0D0D" w:themeColor="text1" w:themeTint="F2"/>
          <w:sz w:val="24"/>
          <w:szCs w:val="24"/>
        </w:rPr>
        <w:t xml:space="preserve"> </w:t>
      </w:r>
      <w:r w:rsidR="005A1CEC" w:rsidRPr="00842FE5">
        <w:rPr>
          <w:rFonts w:ascii="Times New Roman" w:hAnsi="Times New Roman" w:cs="Times New Roman"/>
          <w:color w:val="0D0D0D" w:themeColor="text1" w:themeTint="F2"/>
          <w:sz w:val="24"/>
          <w:szCs w:val="24"/>
        </w:rPr>
        <w:t xml:space="preserve">in </w:t>
      </w:r>
      <w:r w:rsidR="00851854" w:rsidRPr="00842FE5">
        <w:rPr>
          <w:rFonts w:ascii="Times New Roman" w:hAnsi="Times New Roman" w:cs="Times New Roman"/>
          <w:color w:val="0D0D0D" w:themeColor="text1" w:themeTint="F2"/>
          <w:sz w:val="24"/>
          <w:szCs w:val="24"/>
        </w:rPr>
        <w:t>HbA</w:t>
      </w:r>
      <w:r w:rsidR="00851854" w:rsidRPr="00842FE5">
        <w:rPr>
          <w:rFonts w:ascii="Times New Roman" w:hAnsi="Times New Roman" w:cs="Times New Roman"/>
          <w:color w:val="0D0D0D" w:themeColor="text1" w:themeTint="F2"/>
          <w:sz w:val="24"/>
          <w:szCs w:val="24"/>
          <w:vertAlign w:val="subscript"/>
        </w:rPr>
        <w:t>1c</w:t>
      </w:r>
      <w:r w:rsidR="00851854" w:rsidRPr="00842FE5">
        <w:rPr>
          <w:rFonts w:ascii="Times New Roman" w:hAnsi="Times New Roman" w:cs="Times New Roman"/>
          <w:color w:val="0D0D0D" w:themeColor="text1" w:themeTint="F2"/>
          <w:sz w:val="24"/>
          <w:szCs w:val="24"/>
        </w:rPr>
        <w:t xml:space="preserve"> was</w:t>
      </w:r>
      <w:r w:rsidR="001B5326" w:rsidRPr="00842FE5">
        <w:rPr>
          <w:rFonts w:ascii="Times New Roman" w:hAnsi="Times New Roman" w:cs="Times New Roman"/>
          <w:color w:val="0D0D0D" w:themeColor="text1" w:themeTint="F2"/>
          <w:sz w:val="24"/>
          <w:szCs w:val="24"/>
        </w:rPr>
        <w:t xml:space="preserve"> </w:t>
      </w:r>
      <w:r w:rsidR="00851854" w:rsidRPr="00842FE5">
        <w:rPr>
          <w:rFonts w:ascii="Times New Roman" w:hAnsi="Times New Roman" w:cs="Times New Roman"/>
          <w:color w:val="0D0D0D" w:themeColor="text1" w:themeTint="F2"/>
          <w:sz w:val="24"/>
          <w:szCs w:val="24"/>
        </w:rPr>
        <w:t xml:space="preserve">clinically significant at Week 12, </w:t>
      </w:r>
      <w:r w:rsidR="00627F3B" w:rsidRPr="00842FE5">
        <w:rPr>
          <w:rFonts w:ascii="Times New Roman" w:hAnsi="Times New Roman" w:cs="Times New Roman"/>
          <w:color w:val="0D0D0D" w:themeColor="text1" w:themeTint="F2"/>
          <w:sz w:val="24"/>
          <w:szCs w:val="24"/>
        </w:rPr>
        <w:t>−0.66</w:t>
      </w:r>
      <w:r w:rsidR="00261017" w:rsidRPr="00842FE5">
        <w:rPr>
          <w:rFonts w:ascii="Times New Roman" w:hAnsi="Times New Roman" w:cs="Times New Roman"/>
          <w:color w:val="0D0D0D" w:themeColor="text1" w:themeTint="F2"/>
          <w:sz w:val="24"/>
          <w:szCs w:val="24"/>
        </w:rPr>
        <w:t>%</w:t>
      </w:r>
      <w:r w:rsidR="00627F3B" w:rsidRPr="00842FE5">
        <w:rPr>
          <w:rFonts w:ascii="Times New Roman" w:hAnsi="Times New Roman" w:cs="Times New Roman"/>
          <w:color w:val="0D0D0D" w:themeColor="text1" w:themeTint="F2"/>
          <w:sz w:val="24"/>
          <w:szCs w:val="24"/>
        </w:rPr>
        <w:t xml:space="preserve"> </w:t>
      </w:r>
      <w:r w:rsidR="004F17AF" w:rsidRPr="00842FE5">
        <w:rPr>
          <w:rFonts w:ascii="Times New Roman" w:hAnsi="Times New Roman" w:cs="Times New Roman"/>
          <w:color w:val="0D0D0D" w:themeColor="text1" w:themeTint="F2"/>
          <w:sz w:val="24"/>
          <w:szCs w:val="24"/>
        </w:rPr>
        <w:t>(</w:t>
      </w:r>
      <w:r w:rsidR="00B4297D" w:rsidRPr="00842FE5">
        <w:rPr>
          <w:rFonts w:ascii="Times New Roman" w:hAnsi="Times New Roman" w:cs="Times New Roman"/>
          <w:color w:val="0D0D0D" w:themeColor="text1" w:themeTint="F2"/>
          <w:sz w:val="24"/>
          <w:szCs w:val="24"/>
        </w:rPr>
        <w:t>−</w:t>
      </w:r>
      <w:r w:rsidR="00893448" w:rsidRPr="00842FE5">
        <w:rPr>
          <w:rFonts w:ascii="Times New Roman" w:hAnsi="Times New Roman" w:cs="Times New Roman"/>
          <w:color w:val="0D0D0D" w:themeColor="text1" w:themeTint="F2"/>
          <w:sz w:val="24"/>
          <w:szCs w:val="24"/>
        </w:rPr>
        <w:t xml:space="preserve">0.77%, </w:t>
      </w:r>
      <w:r w:rsidR="00B4297D" w:rsidRPr="00842FE5">
        <w:rPr>
          <w:rFonts w:ascii="Times New Roman" w:hAnsi="Times New Roman" w:cs="Times New Roman"/>
          <w:color w:val="0D0D0D" w:themeColor="text1" w:themeTint="F2"/>
          <w:sz w:val="24"/>
          <w:szCs w:val="24"/>
        </w:rPr>
        <w:t>−</w:t>
      </w:r>
      <w:r w:rsidR="00893448" w:rsidRPr="00842FE5">
        <w:rPr>
          <w:rFonts w:ascii="Times New Roman" w:hAnsi="Times New Roman" w:cs="Times New Roman"/>
          <w:color w:val="0D0D0D" w:themeColor="text1" w:themeTint="F2"/>
          <w:sz w:val="24"/>
          <w:szCs w:val="24"/>
        </w:rPr>
        <w:t>0.56%</w:t>
      </w:r>
      <w:r w:rsidR="004F17AF" w:rsidRPr="00842FE5">
        <w:rPr>
          <w:rFonts w:ascii="Times New Roman" w:hAnsi="Times New Roman" w:cs="Times New Roman"/>
          <w:color w:val="0D0D0D" w:themeColor="text1" w:themeTint="F2"/>
          <w:sz w:val="24"/>
          <w:szCs w:val="24"/>
        </w:rPr>
        <w:t xml:space="preserve">) </w:t>
      </w:r>
      <w:r w:rsidR="00CD13E2" w:rsidRPr="00842FE5">
        <w:rPr>
          <w:rFonts w:ascii="Times New Roman" w:hAnsi="Times New Roman" w:cs="Times New Roman"/>
          <w:color w:val="0D0D0D" w:themeColor="text1" w:themeTint="F2"/>
          <w:sz w:val="24"/>
          <w:szCs w:val="24"/>
        </w:rPr>
        <w:t xml:space="preserve">and </w:t>
      </w:r>
      <w:r w:rsidR="00851854" w:rsidRPr="00842FE5">
        <w:rPr>
          <w:rFonts w:ascii="Times New Roman" w:hAnsi="Times New Roman" w:cs="Times New Roman"/>
          <w:color w:val="0D0D0D" w:themeColor="text1" w:themeTint="F2"/>
          <w:sz w:val="24"/>
          <w:szCs w:val="24"/>
        </w:rPr>
        <w:t>Week 26</w:t>
      </w:r>
      <w:r w:rsidR="008B28FD" w:rsidRPr="00842FE5">
        <w:rPr>
          <w:rFonts w:ascii="Times New Roman" w:hAnsi="Times New Roman" w:cs="Times New Roman"/>
          <w:color w:val="0D0D0D" w:themeColor="text1" w:themeTint="F2"/>
          <w:sz w:val="24"/>
          <w:szCs w:val="24"/>
        </w:rPr>
        <w:t xml:space="preserve"> (primary endpoint)</w:t>
      </w:r>
      <w:r w:rsidR="00DA4B80" w:rsidRPr="00842FE5">
        <w:rPr>
          <w:rFonts w:ascii="Times New Roman" w:hAnsi="Times New Roman" w:cs="Times New Roman"/>
          <w:color w:val="0D0D0D" w:themeColor="text1" w:themeTint="F2"/>
          <w:sz w:val="24"/>
          <w:szCs w:val="24"/>
        </w:rPr>
        <w:t xml:space="preserve">, </w:t>
      </w:r>
      <w:r w:rsidR="00B4297D" w:rsidRPr="00842FE5">
        <w:rPr>
          <w:rFonts w:ascii="Times New Roman" w:hAnsi="Times New Roman" w:cs="Times New Roman"/>
          <w:color w:val="0D0D0D" w:themeColor="text1" w:themeTint="F2"/>
          <w:sz w:val="24"/>
          <w:szCs w:val="24"/>
        </w:rPr>
        <w:t>−</w:t>
      </w:r>
      <w:r w:rsidR="00F00371" w:rsidRPr="00842FE5">
        <w:rPr>
          <w:rFonts w:ascii="Times New Roman" w:hAnsi="Times New Roman" w:cs="Times New Roman"/>
          <w:color w:val="0D0D0D" w:themeColor="text1" w:themeTint="F2"/>
          <w:sz w:val="24"/>
          <w:szCs w:val="24"/>
        </w:rPr>
        <w:t>0.8</w:t>
      </w:r>
      <w:r w:rsidR="00261017" w:rsidRPr="00842FE5">
        <w:rPr>
          <w:rFonts w:ascii="Times New Roman" w:hAnsi="Times New Roman" w:cs="Times New Roman"/>
          <w:color w:val="0D0D0D" w:themeColor="text1" w:themeTint="F2"/>
          <w:sz w:val="24"/>
          <w:szCs w:val="24"/>
        </w:rPr>
        <w:t>2</w:t>
      </w:r>
      <w:r w:rsidR="00952912" w:rsidRPr="00842FE5">
        <w:rPr>
          <w:rFonts w:ascii="Times New Roman" w:hAnsi="Times New Roman" w:cs="Times New Roman"/>
          <w:color w:val="0D0D0D" w:themeColor="text1" w:themeTint="F2"/>
          <w:sz w:val="24"/>
          <w:szCs w:val="24"/>
        </w:rPr>
        <w:t>%</w:t>
      </w:r>
      <w:r w:rsidR="00F00371" w:rsidRPr="00842FE5">
        <w:rPr>
          <w:rFonts w:ascii="Times New Roman" w:hAnsi="Times New Roman" w:cs="Times New Roman"/>
          <w:color w:val="0D0D0D" w:themeColor="text1" w:themeTint="F2"/>
          <w:sz w:val="24"/>
          <w:szCs w:val="24"/>
        </w:rPr>
        <w:t xml:space="preserve"> (</w:t>
      </w:r>
      <w:r w:rsidR="00B4297D" w:rsidRPr="00842FE5">
        <w:rPr>
          <w:rFonts w:ascii="Times New Roman" w:hAnsi="Times New Roman" w:cs="Times New Roman"/>
          <w:color w:val="0D0D0D" w:themeColor="text1" w:themeTint="F2"/>
          <w:sz w:val="24"/>
          <w:szCs w:val="24"/>
        </w:rPr>
        <w:t>−</w:t>
      </w:r>
      <w:r w:rsidR="00952912" w:rsidRPr="00842FE5">
        <w:rPr>
          <w:rFonts w:ascii="Times New Roman" w:hAnsi="Times New Roman" w:cs="Times New Roman"/>
          <w:color w:val="0D0D0D" w:themeColor="text1" w:themeTint="F2"/>
          <w:sz w:val="24"/>
          <w:szCs w:val="24"/>
        </w:rPr>
        <w:t>0.</w:t>
      </w:r>
      <w:r w:rsidR="005207DC" w:rsidRPr="00842FE5">
        <w:rPr>
          <w:rFonts w:ascii="Times New Roman" w:hAnsi="Times New Roman" w:cs="Times New Roman"/>
          <w:color w:val="0D0D0D" w:themeColor="text1" w:themeTint="F2"/>
          <w:sz w:val="24"/>
          <w:szCs w:val="24"/>
        </w:rPr>
        <w:t>93</w:t>
      </w:r>
      <w:r w:rsidR="00952912" w:rsidRPr="00842FE5">
        <w:rPr>
          <w:rFonts w:ascii="Times New Roman" w:hAnsi="Times New Roman" w:cs="Times New Roman"/>
          <w:color w:val="0D0D0D" w:themeColor="text1" w:themeTint="F2"/>
          <w:sz w:val="24"/>
          <w:szCs w:val="24"/>
        </w:rPr>
        <w:t xml:space="preserve">%, </w:t>
      </w:r>
      <w:r w:rsidR="00B4297D" w:rsidRPr="00842FE5">
        <w:rPr>
          <w:rFonts w:ascii="Times New Roman" w:hAnsi="Times New Roman" w:cs="Times New Roman"/>
          <w:color w:val="0D0D0D" w:themeColor="text1" w:themeTint="F2"/>
          <w:sz w:val="24"/>
          <w:szCs w:val="24"/>
        </w:rPr>
        <w:t>−</w:t>
      </w:r>
      <w:r w:rsidR="00952912" w:rsidRPr="00842FE5">
        <w:rPr>
          <w:rFonts w:ascii="Times New Roman" w:hAnsi="Times New Roman" w:cs="Times New Roman"/>
          <w:color w:val="0D0D0D" w:themeColor="text1" w:themeTint="F2"/>
          <w:sz w:val="24"/>
          <w:szCs w:val="24"/>
        </w:rPr>
        <w:t>0.</w:t>
      </w:r>
      <w:r w:rsidR="0085416B" w:rsidRPr="00842FE5">
        <w:rPr>
          <w:rFonts w:ascii="Times New Roman" w:hAnsi="Times New Roman" w:cs="Times New Roman"/>
          <w:color w:val="0D0D0D" w:themeColor="text1" w:themeTint="F2"/>
          <w:sz w:val="24"/>
          <w:szCs w:val="24"/>
        </w:rPr>
        <w:t>70</w:t>
      </w:r>
      <w:r w:rsidR="00952912" w:rsidRPr="00842FE5">
        <w:rPr>
          <w:rFonts w:ascii="Times New Roman" w:hAnsi="Times New Roman" w:cs="Times New Roman"/>
          <w:color w:val="0D0D0D" w:themeColor="text1" w:themeTint="F2"/>
          <w:sz w:val="24"/>
          <w:szCs w:val="24"/>
        </w:rPr>
        <w:t>%</w:t>
      </w:r>
      <w:r w:rsidR="00297991" w:rsidRPr="00842FE5">
        <w:rPr>
          <w:rFonts w:ascii="Times New Roman" w:hAnsi="Times New Roman" w:cs="Times New Roman"/>
          <w:color w:val="0D0D0D" w:themeColor="text1" w:themeTint="F2"/>
          <w:sz w:val="24"/>
          <w:szCs w:val="24"/>
        </w:rPr>
        <w:t>)</w:t>
      </w:r>
      <w:r w:rsidR="00E17A21" w:rsidRPr="00842FE5">
        <w:rPr>
          <w:rFonts w:ascii="Times New Roman" w:hAnsi="Times New Roman" w:cs="Times New Roman"/>
          <w:color w:val="0D0D0D" w:themeColor="text1" w:themeTint="F2"/>
          <w:sz w:val="24"/>
          <w:szCs w:val="24"/>
        </w:rPr>
        <w:t xml:space="preserve"> </w:t>
      </w:r>
      <w:r w:rsidR="00ED4D29" w:rsidRPr="00842FE5">
        <w:rPr>
          <w:rFonts w:ascii="Times New Roman" w:hAnsi="Times New Roman" w:cs="Times New Roman"/>
          <w:color w:val="0D0D0D" w:themeColor="text1" w:themeTint="F2"/>
          <w:sz w:val="24"/>
          <w:szCs w:val="24"/>
        </w:rPr>
        <w:t>(</w:t>
      </w:r>
      <w:r w:rsidR="00ED4D29" w:rsidRPr="00842FE5">
        <w:rPr>
          <w:rFonts w:ascii="Times New Roman" w:hAnsi="Times New Roman" w:cs="Times New Roman"/>
          <w:b/>
          <w:bCs/>
          <w:color w:val="0D0D0D" w:themeColor="text1" w:themeTint="F2"/>
          <w:sz w:val="24"/>
          <w:szCs w:val="24"/>
        </w:rPr>
        <w:t>Figure 1</w:t>
      </w:r>
      <w:r w:rsidR="00ED4D29" w:rsidRPr="00842FE5">
        <w:rPr>
          <w:rFonts w:ascii="Times New Roman" w:hAnsi="Times New Roman" w:cs="Times New Roman"/>
          <w:color w:val="0D0D0D" w:themeColor="text1" w:themeTint="F2"/>
          <w:sz w:val="24"/>
          <w:szCs w:val="24"/>
        </w:rPr>
        <w:t>)</w:t>
      </w:r>
      <w:r w:rsidR="00C92BAC" w:rsidRPr="00842FE5">
        <w:rPr>
          <w:rFonts w:ascii="Times New Roman" w:hAnsi="Times New Roman" w:cs="Times New Roman"/>
          <w:color w:val="0D0D0D" w:themeColor="text1" w:themeTint="F2"/>
          <w:sz w:val="24"/>
          <w:szCs w:val="24"/>
        </w:rPr>
        <w:t xml:space="preserve">. </w:t>
      </w:r>
      <w:r w:rsidR="00765E3C" w:rsidRPr="00842FE5">
        <w:rPr>
          <w:rFonts w:ascii="Times New Roman" w:hAnsi="Times New Roman" w:cs="Times New Roman"/>
          <w:color w:val="0D0D0D" w:themeColor="text1" w:themeTint="F2"/>
          <w:sz w:val="24"/>
          <w:szCs w:val="24"/>
        </w:rPr>
        <w:t>At Week 26, a</w:t>
      </w:r>
      <w:r w:rsidR="001301AC" w:rsidRPr="00842FE5">
        <w:rPr>
          <w:rFonts w:ascii="Times New Roman" w:hAnsi="Times New Roman" w:cs="Times New Roman"/>
          <w:color w:val="0D0D0D" w:themeColor="text1" w:themeTint="F2"/>
          <w:sz w:val="24"/>
          <w:szCs w:val="24"/>
        </w:rPr>
        <w:t xml:space="preserve"> total of 18.5% of participants reached the target HbA</w:t>
      </w:r>
      <w:r w:rsidR="001301AC" w:rsidRPr="00842FE5">
        <w:rPr>
          <w:rFonts w:ascii="Times New Roman" w:hAnsi="Times New Roman" w:cs="Times New Roman"/>
          <w:color w:val="0D0D0D" w:themeColor="text1" w:themeTint="F2"/>
          <w:sz w:val="24"/>
          <w:szCs w:val="24"/>
          <w:vertAlign w:val="subscript"/>
        </w:rPr>
        <w:t>1c</w:t>
      </w:r>
      <w:r w:rsidR="001301AC" w:rsidRPr="00842FE5">
        <w:rPr>
          <w:rFonts w:ascii="Times New Roman" w:hAnsi="Times New Roman" w:cs="Times New Roman"/>
          <w:color w:val="0D0D0D" w:themeColor="text1" w:themeTint="F2"/>
          <w:sz w:val="24"/>
          <w:szCs w:val="24"/>
        </w:rPr>
        <w:t xml:space="preserve"> &lt;7.0%</w:t>
      </w:r>
      <w:r w:rsidR="00DB1951" w:rsidRPr="00842FE5">
        <w:rPr>
          <w:rFonts w:ascii="Times New Roman" w:hAnsi="Times New Roman" w:cs="Times New Roman"/>
          <w:color w:val="0D0D0D" w:themeColor="text1" w:themeTint="F2"/>
          <w:sz w:val="24"/>
          <w:szCs w:val="24"/>
        </w:rPr>
        <w:t>;</w:t>
      </w:r>
      <w:r w:rsidR="00561ABA" w:rsidRPr="00842FE5">
        <w:rPr>
          <w:rFonts w:ascii="Times New Roman" w:hAnsi="Times New Roman" w:cs="Times New Roman"/>
          <w:color w:val="0D0D0D" w:themeColor="text1" w:themeTint="F2"/>
          <w:sz w:val="24"/>
          <w:szCs w:val="24"/>
        </w:rPr>
        <w:t xml:space="preserve"> </w:t>
      </w:r>
      <w:r w:rsidR="0093154F" w:rsidRPr="00842FE5">
        <w:rPr>
          <w:rFonts w:ascii="Times New Roman" w:hAnsi="Times New Roman" w:cs="Times New Roman"/>
          <w:color w:val="0D0D0D" w:themeColor="text1" w:themeTint="F2"/>
          <w:sz w:val="24"/>
          <w:szCs w:val="24"/>
        </w:rPr>
        <w:t xml:space="preserve">and </w:t>
      </w:r>
      <w:r w:rsidR="00561ABA" w:rsidRPr="00842FE5">
        <w:rPr>
          <w:rFonts w:ascii="Times New Roman" w:hAnsi="Times New Roman" w:cs="Times New Roman"/>
          <w:color w:val="0D0D0D" w:themeColor="text1" w:themeTint="F2"/>
          <w:sz w:val="24"/>
          <w:szCs w:val="24"/>
        </w:rPr>
        <w:t>greater proportion</w:t>
      </w:r>
      <w:r w:rsidR="0029496B" w:rsidRPr="00842FE5">
        <w:rPr>
          <w:rFonts w:ascii="Times New Roman" w:hAnsi="Times New Roman" w:cs="Times New Roman"/>
          <w:color w:val="0D0D0D" w:themeColor="text1" w:themeTint="F2"/>
          <w:sz w:val="24"/>
          <w:szCs w:val="24"/>
        </w:rPr>
        <w:t>s</w:t>
      </w:r>
      <w:r w:rsidR="001301AC" w:rsidRPr="00842FE5">
        <w:rPr>
          <w:rFonts w:ascii="Times New Roman" w:hAnsi="Times New Roman" w:cs="Times New Roman"/>
          <w:color w:val="0D0D0D" w:themeColor="text1" w:themeTint="F2"/>
          <w:sz w:val="24"/>
          <w:szCs w:val="24"/>
        </w:rPr>
        <w:t xml:space="preserve"> </w:t>
      </w:r>
      <w:r w:rsidR="008C616A" w:rsidRPr="00842FE5">
        <w:rPr>
          <w:rFonts w:ascii="Times New Roman" w:hAnsi="Times New Roman" w:cs="Times New Roman"/>
          <w:color w:val="0D0D0D" w:themeColor="text1" w:themeTint="F2"/>
          <w:sz w:val="24"/>
          <w:szCs w:val="24"/>
        </w:rPr>
        <w:t xml:space="preserve">of participants </w:t>
      </w:r>
      <w:r w:rsidR="00561ABA" w:rsidRPr="00842FE5">
        <w:rPr>
          <w:rFonts w:ascii="Times New Roman" w:hAnsi="Times New Roman" w:cs="Times New Roman"/>
          <w:color w:val="0D0D0D" w:themeColor="text1" w:themeTint="F2"/>
          <w:sz w:val="24"/>
          <w:szCs w:val="24"/>
        </w:rPr>
        <w:lastRenderedPageBreak/>
        <w:t xml:space="preserve">achieved the </w:t>
      </w:r>
      <w:r w:rsidR="00946F40" w:rsidRPr="00842FE5">
        <w:rPr>
          <w:rFonts w:ascii="Times New Roman" w:hAnsi="Times New Roman" w:cs="Times New Roman"/>
          <w:color w:val="0D0D0D" w:themeColor="text1" w:themeTint="F2"/>
          <w:sz w:val="24"/>
          <w:szCs w:val="24"/>
        </w:rPr>
        <w:t>less stringent targets (</w:t>
      </w:r>
      <w:r w:rsidR="008C616A" w:rsidRPr="00842FE5">
        <w:rPr>
          <w:rFonts w:ascii="Times New Roman" w:hAnsi="Times New Roman" w:cs="Times New Roman"/>
          <w:color w:val="0D0D0D" w:themeColor="text1" w:themeTint="F2"/>
          <w:sz w:val="24"/>
          <w:szCs w:val="24"/>
        </w:rPr>
        <w:t>HbA</w:t>
      </w:r>
      <w:r w:rsidR="008C616A" w:rsidRPr="00842FE5">
        <w:rPr>
          <w:rFonts w:ascii="Times New Roman" w:hAnsi="Times New Roman" w:cs="Times New Roman"/>
          <w:color w:val="0D0D0D" w:themeColor="text1" w:themeTint="F2"/>
          <w:sz w:val="24"/>
          <w:szCs w:val="24"/>
          <w:vertAlign w:val="subscript"/>
        </w:rPr>
        <w:t>1c</w:t>
      </w:r>
      <w:r w:rsidR="00230E9A" w:rsidRPr="00842FE5">
        <w:rPr>
          <w:rFonts w:ascii="Times New Roman" w:hAnsi="Times New Roman" w:cs="Times New Roman"/>
          <w:color w:val="0D0D0D" w:themeColor="text1" w:themeTint="F2"/>
          <w:sz w:val="24"/>
          <w:szCs w:val="24"/>
          <w:vertAlign w:val="subscript"/>
        </w:rPr>
        <w:t xml:space="preserve"> </w:t>
      </w:r>
      <w:r w:rsidR="006F565F" w:rsidRPr="00842FE5">
        <w:rPr>
          <w:rFonts w:ascii="Times New Roman" w:hAnsi="Times New Roman" w:cs="Times New Roman"/>
          <w:color w:val="0D0D0D" w:themeColor="text1" w:themeTint="F2"/>
          <w:sz w:val="24"/>
          <w:szCs w:val="24"/>
        </w:rPr>
        <w:t>&lt;</w:t>
      </w:r>
      <w:r w:rsidR="00EB64F6" w:rsidRPr="00842FE5">
        <w:rPr>
          <w:rFonts w:ascii="Times New Roman" w:hAnsi="Times New Roman" w:cs="Times New Roman"/>
          <w:color w:val="0D0D0D" w:themeColor="text1" w:themeTint="F2"/>
          <w:sz w:val="24"/>
          <w:szCs w:val="24"/>
        </w:rPr>
        <w:t>7.5</w:t>
      </w:r>
      <w:r w:rsidR="00D600CC" w:rsidRPr="00842FE5">
        <w:rPr>
          <w:rFonts w:ascii="Times New Roman" w:hAnsi="Times New Roman" w:cs="Times New Roman"/>
          <w:color w:val="0D0D0D" w:themeColor="text1" w:themeTint="F2"/>
          <w:sz w:val="24"/>
          <w:szCs w:val="24"/>
        </w:rPr>
        <w:t>%</w:t>
      </w:r>
      <w:r w:rsidR="00946F40" w:rsidRPr="00842FE5">
        <w:rPr>
          <w:rFonts w:ascii="Times New Roman" w:hAnsi="Times New Roman" w:cs="Times New Roman"/>
          <w:color w:val="0D0D0D" w:themeColor="text1" w:themeTint="F2"/>
          <w:sz w:val="24"/>
          <w:szCs w:val="24"/>
        </w:rPr>
        <w:t>, 36.8%</w:t>
      </w:r>
      <w:r w:rsidR="003F29F8" w:rsidRPr="00842FE5">
        <w:rPr>
          <w:rFonts w:ascii="Times New Roman" w:hAnsi="Times New Roman" w:cs="Times New Roman"/>
          <w:color w:val="0D0D0D" w:themeColor="text1" w:themeTint="F2"/>
          <w:sz w:val="24"/>
          <w:szCs w:val="24"/>
        </w:rPr>
        <w:t xml:space="preserve"> and</w:t>
      </w:r>
      <w:r w:rsidR="00946F40" w:rsidRPr="00842FE5">
        <w:rPr>
          <w:rFonts w:ascii="Times New Roman" w:hAnsi="Times New Roman" w:cs="Times New Roman"/>
          <w:color w:val="0D0D0D" w:themeColor="text1" w:themeTint="F2"/>
          <w:sz w:val="24"/>
          <w:szCs w:val="24"/>
        </w:rPr>
        <w:t xml:space="preserve"> &lt;8.0%</w:t>
      </w:r>
      <w:r w:rsidR="00DB4783" w:rsidRPr="00842FE5">
        <w:rPr>
          <w:rFonts w:ascii="Times New Roman" w:hAnsi="Times New Roman" w:cs="Times New Roman"/>
          <w:color w:val="0D0D0D" w:themeColor="text1" w:themeTint="F2"/>
          <w:sz w:val="24"/>
          <w:szCs w:val="24"/>
        </w:rPr>
        <w:t>,</w:t>
      </w:r>
      <w:r w:rsidR="00406CF7" w:rsidRPr="00842FE5">
        <w:rPr>
          <w:rFonts w:ascii="Times New Roman" w:hAnsi="Times New Roman" w:cs="Times New Roman"/>
          <w:color w:val="0D0D0D" w:themeColor="text1" w:themeTint="F2"/>
          <w:sz w:val="24"/>
          <w:szCs w:val="24"/>
        </w:rPr>
        <w:t xml:space="preserve"> </w:t>
      </w:r>
      <w:r w:rsidR="005155F0" w:rsidRPr="00842FE5">
        <w:rPr>
          <w:rFonts w:ascii="Times New Roman" w:hAnsi="Times New Roman" w:cs="Times New Roman"/>
          <w:color w:val="0D0D0D" w:themeColor="text1" w:themeTint="F2"/>
          <w:sz w:val="24"/>
          <w:szCs w:val="24"/>
        </w:rPr>
        <w:t>56.7%</w:t>
      </w:r>
      <w:r w:rsidR="00936D13" w:rsidRPr="00842FE5">
        <w:rPr>
          <w:rFonts w:ascii="Times New Roman" w:hAnsi="Times New Roman" w:cs="Times New Roman"/>
          <w:color w:val="0D0D0D" w:themeColor="text1" w:themeTint="F2"/>
          <w:sz w:val="24"/>
          <w:szCs w:val="24"/>
        </w:rPr>
        <w:t>)</w:t>
      </w:r>
      <w:r w:rsidR="005155F0" w:rsidRPr="00842FE5">
        <w:rPr>
          <w:rFonts w:ascii="Times New Roman" w:hAnsi="Times New Roman" w:cs="Times New Roman"/>
          <w:color w:val="0D0D0D" w:themeColor="text1" w:themeTint="F2"/>
          <w:sz w:val="24"/>
          <w:szCs w:val="24"/>
        </w:rPr>
        <w:t xml:space="preserve"> </w:t>
      </w:r>
      <w:r w:rsidR="00A73690" w:rsidRPr="00842FE5">
        <w:rPr>
          <w:rFonts w:ascii="Times New Roman" w:hAnsi="Times New Roman" w:cs="Times New Roman"/>
          <w:color w:val="0D0D0D" w:themeColor="text1" w:themeTint="F2"/>
          <w:sz w:val="24"/>
          <w:szCs w:val="24"/>
        </w:rPr>
        <w:t>compared to HbA</w:t>
      </w:r>
      <w:r w:rsidR="00A73690" w:rsidRPr="00842FE5">
        <w:rPr>
          <w:rFonts w:ascii="Times New Roman" w:hAnsi="Times New Roman" w:cs="Times New Roman"/>
          <w:color w:val="0D0D0D" w:themeColor="text1" w:themeTint="F2"/>
          <w:sz w:val="24"/>
          <w:szCs w:val="24"/>
          <w:vertAlign w:val="subscript"/>
        </w:rPr>
        <w:t>1c</w:t>
      </w:r>
      <w:r w:rsidR="00A73690" w:rsidRPr="00842FE5">
        <w:rPr>
          <w:rFonts w:ascii="Times New Roman" w:hAnsi="Times New Roman" w:cs="Times New Roman"/>
          <w:color w:val="0D0D0D" w:themeColor="text1" w:themeTint="F2"/>
          <w:sz w:val="24"/>
          <w:szCs w:val="24"/>
        </w:rPr>
        <w:t xml:space="preserve"> &lt;6.5% (</w:t>
      </w:r>
      <w:r w:rsidR="007459B5" w:rsidRPr="00842FE5">
        <w:rPr>
          <w:rFonts w:ascii="Times New Roman" w:hAnsi="Times New Roman" w:cs="Times New Roman"/>
          <w:color w:val="0D0D0D" w:themeColor="text1" w:themeTint="F2"/>
          <w:sz w:val="24"/>
          <w:szCs w:val="24"/>
        </w:rPr>
        <w:t>7</w:t>
      </w:r>
      <w:r w:rsidR="006F6A69" w:rsidRPr="00842FE5">
        <w:rPr>
          <w:rFonts w:ascii="Times New Roman" w:hAnsi="Times New Roman" w:cs="Times New Roman"/>
          <w:color w:val="0D0D0D" w:themeColor="text1" w:themeTint="F2"/>
          <w:sz w:val="24"/>
          <w:szCs w:val="24"/>
        </w:rPr>
        <w:t>.0%</w:t>
      </w:r>
      <w:r w:rsidR="00A73690" w:rsidRPr="00842FE5">
        <w:rPr>
          <w:rFonts w:ascii="Times New Roman" w:hAnsi="Times New Roman" w:cs="Times New Roman"/>
          <w:color w:val="0D0D0D" w:themeColor="text1" w:themeTint="F2"/>
          <w:sz w:val="24"/>
          <w:szCs w:val="24"/>
        </w:rPr>
        <w:t>)</w:t>
      </w:r>
      <w:r w:rsidR="00B1498E" w:rsidRPr="00842FE5">
        <w:rPr>
          <w:rFonts w:ascii="Times New Roman" w:hAnsi="Times New Roman" w:cs="Times New Roman"/>
          <w:color w:val="0D0D0D" w:themeColor="text1" w:themeTint="F2"/>
          <w:sz w:val="24"/>
          <w:szCs w:val="24"/>
        </w:rPr>
        <w:t>.</w:t>
      </w:r>
    </w:p>
    <w:p w14:paraId="47E66C82" w14:textId="28CEE940" w:rsidR="00B136E0" w:rsidRPr="00842FE5" w:rsidRDefault="00BD7BCC" w:rsidP="003858C4">
      <w:pPr>
        <w:pStyle w:val="ListParagraph"/>
        <w:spacing w:line="480" w:lineRule="auto"/>
        <w:ind w:left="709" w:hanging="709"/>
        <w:rPr>
          <w:rFonts w:ascii="Times New Roman" w:hAnsi="Times New Roman" w:cs="Times New Roman"/>
          <w:i/>
          <w:iCs/>
          <w:color w:val="0D0D0D" w:themeColor="text1" w:themeTint="F2"/>
          <w:sz w:val="24"/>
          <w:szCs w:val="24"/>
        </w:rPr>
      </w:pPr>
      <w:r w:rsidRPr="00842FE5">
        <w:rPr>
          <w:rFonts w:ascii="Times New Roman" w:hAnsi="Times New Roman" w:cs="Times New Roman"/>
          <w:i/>
          <w:iCs/>
          <w:color w:val="0D0D0D" w:themeColor="text1" w:themeTint="F2"/>
          <w:sz w:val="24"/>
          <w:szCs w:val="24"/>
        </w:rPr>
        <w:t>F</w:t>
      </w:r>
      <w:r w:rsidR="008F53DE" w:rsidRPr="00842FE5">
        <w:rPr>
          <w:rFonts w:ascii="Times New Roman" w:hAnsi="Times New Roman" w:cs="Times New Roman"/>
          <w:i/>
          <w:iCs/>
          <w:color w:val="0D0D0D" w:themeColor="text1" w:themeTint="F2"/>
          <w:sz w:val="24"/>
          <w:szCs w:val="24"/>
        </w:rPr>
        <w:t xml:space="preserve">asting plasma glucose and </w:t>
      </w:r>
      <w:r w:rsidR="00B136E0" w:rsidRPr="00842FE5">
        <w:rPr>
          <w:rFonts w:ascii="Times New Roman" w:hAnsi="Times New Roman" w:cs="Times New Roman"/>
          <w:i/>
          <w:iCs/>
          <w:color w:val="0D0D0D" w:themeColor="text1" w:themeTint="F2"/>
          <w:sz w:val="24"/>
          <w:szCs w:val="24"/>
        </w:rPr>
        <w:t xml:space="preserve">self-monitored plasma glucose </w:t>
      </w:r>
    </w:p>
    <w:p w14:paraId="337363F5" w14:textId="54EE2BB8" w:rsidR="00220BD8" w:rsidRPr="00842FE5" w:rsidRDefault="00DF0C0D" w:rsidP="00BE739C">
      <w:pPr>
        <w:spacing w:line="480" w:lineRule="auto"/>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The m</w:t>
      </w:r>
      <w:r w:rsidR="00F456EB" w:rsidRPr="00842FE5">
        <w:rPr>
          <w:rFonts w:ascii="Times New Roman" w:hAnsi="Times New Roman" w:cs="Times New Roman"/>
          <w:color w:val="0D0D0D" w:themeColor="text1" w:themeTint="F2"/>
          <w:sz w:val="24"/>
          <w:szCs w:val="24"/>
        </w:rPr>
        <w:t>ean</w:t>
      </w:r>
      <w:r w:rsidR="00AA2C20" w:rsidRPr="00842FE5">
        <w:rPr>
          <w:rFonts w:ascii="Times New Roman" w:hAnsi="Times New Roman" w:cs="Times New Roman"/>
          <w:color w:val="0D0D0D" w:themeColor="text1" w:themeTint="F2"/>
          <w:sz w:val="24"/>
          <w:szCs w:val="24"/>
        </w:rPr>
        <w:t xml:space="preserve"> (</w:t>
      </w:r>
      <w:r w:rsidR="000A462A" w:rsidRPr="00842FE5">
        <w:rPr>
          <w:rFonts w:ascii="Times New Roman" w:hAnsi="Times New Roman" w:cs="Times New Roman"/>
          <w:color w:val="0D0D0D" w:themeColor="text1" w:themeTint="F2"/>
          <w:sz w:val="24"/>
          <w:szCs w:val="24"/>
        </w:rPr>
        <w:t xml:space="preserve">± </w:t>
      </w:r>
      <w:r w:rsidR="00AA2C20" w:rsidRPr="00842FE5">
        <w:rPr>
          <w:rFonts w:ascii="Times New Roman" w:hAnsi="Times New Roman" w:cs="Times New Roman"/>
          <w:color w:val="0D0D0D" w:themeColor="text1" w:themeTint="F2"/>
          <w:sz w:val="24"/>
          <w:szCs w:val="24"/>
        </w:rPr>
        <w:t>SD)</w:t>
      </w:r>
      <w:r w:rsidR="00F456EB" w:rsidRPr="00842FE5">
        <w:rPr>
          <w:rFonts w:ascii="Times New Roman" w:hAnsi="Times New Roman" w:cs="Times New Roman"/>
          <w:color w:val="0D0D0D" w:themeColor="text1" w:themeTint="F2"/>
          <w:sz w:val="24"/>
          <w:szCs w:val="24"/>
        </w:rPr>
        <w:t xml:space="preserve"> FPG </w:t>
      </w:r>
      <w:r w:rsidRPr="00842FE5">
        <w:rPr>
          <w:rFonts w:ascii="Times New Roman" w:hAnsi="Times New Roman" w:cs="Times New Roman"/>
          <w:color w:val="0D0D0D" w:themeColor="text1" w:themeTint="F2"/>
          <w:sz w:val="24"/>
          <w:szCs w:val="24"/>
        </w:rPr>
        <w:t>reduced from</w:t>
      </w:r>
      <w:r w:rsidR="00F456EB" w:rsidRPr="00842FE5">
        <w:rPr>
          <w:rFonts w:ascii="Times New Roman" w:hAnsi="Times New Roman" w:cs="Times New Roman"/>
          <w:color w:val="0D0D0D" w:themeColor="text1" w:themeTint="F2"/>
          <w:sz w:val="24"/>
          <w:szCs w:val="24"/>
        </w:rPr>
        <w:t xml:space="preserve"> 164.08</w:t>
      </w:r>
      <w:r w:rsidR="008D4B22" w:rsidRPr="00842FE5">
        <w:rPr>
          <w:rFonts w:ascii="Times New Roman" w:hAnsi="Times New Roman" w:cs="Times New Roman"/>
          <w:color w:val="0D0D0D" w:themeColor="text1" w:themeTint="F2"/>
          <w:sz w:val="24"/>
          <w:szCs w:val="24"/>
        </w:rPr>
        <w:t xml:space="preserve"> </w:t>
      </w:r>
      <w:r w:rsidR="000A462A" w:rsidRPr="00842FE5">
        <w:rPr>
          <w:rFonts w:ascii="Times New Roman" w:hAnsi="Times New Roman" w:cs="Times New Roman"/>
          <w:color w:val="0D0D0D" w:themeColor="text1" w:themeTint="F2"/>
          <w:sz w:val="24"/>
          <w:szCs w:val="24"/>
        </w:rPr>
        <w:t xml:space="preserve">± </w:t>
      </w:r>
      <w:r w:rsidR="008D4B22" w:rsidRPr="00842FE5">
        <w:rPr>
          <w:rFonts w:ascii="Times New Roman" w:hAnsi="Times New Roman" w:cs="Times New Roman"/>
          <w:color w:val="0D0D0D" w:themeColor="text1" w:themeTint="F2"/>
          <w:sz w:val="24"/>
          <w:szCs w:val="24"/>
        </w:rPr>
        <w:t>54.58</w:t>
      </w:r>
      <w:r w:rsidR="00F456EB" w:rsidRPr="00842FE5">
        <w:rPr>
          <w:rFonts w:ascii="Times New Roman" w:hAnsi="Times New Roman" w:cs="Times New Roman"/>
          <w:color w:val="0D0D0D" w:themeColor="text1" w:themeTint="F2"/>
          <w:sz w:val="24"/>
          <w:szCs w:val="24"/>
        </w:rPr>
        <w:t xml:space="preserve"> mg/dL at baseline </w:t>
      </w:r>
      <w:r w:rsidR="002350CA" w:rsidRPr="00842FE5">
        <w:rPr>
          <w:rFonts w:ascii="Times New Roman" w:hAnsi="Times New Roman" w:cs="Times New Roman"/>
          <w:color w:val="0D0D0D" w:themeColor="text1" w:themeTint="F2"/>
          <w:sz w:val="24"/>
          <w:szCs w:val="24"/>
        </w:rPr>
        <w:t xml:space="preserve">to </w:t>
      </w:r>
      <w:r w:rsidR="00F456EB" w:rsidRPr="00842FE5">
        <w:rPr>
          <w:rFonts w:ascii="Times New Roman" w:hAnsi="Times New Roman" w:cs="Times New Roman"/>
          <w:color w:val="0D0D0D" w:themeColor="text1" w:themeTint="F2"/>
          <w:sz w:val="24"/>
          <w:szCs w:val="24"/>
        </w:rPr>
        <w:t>137.38</w:t>
      </w:r>
      <w:r w:rsidR="008D4B22" w:rsidRPr="00842FE5">
        <w:rPr>
          <w:rFonts w:ascii="Times New Roman" w:hAnsi="Times New Roman" w:cs="Times New Roman"/>
          <w:color w:val="0D0D0D" w:themeColor="text1" w:themeTint="F2"/>
          <w:sz w:val="24"/>
          <w:szCs w:val="24"/>
        </w:rPr>
        <w:t xml:space="preserve"> </w:t>
      </w:r>
      <w:r w:rsidR="000A462A" w:rsidRPr="00842FE5">
        <w:rPr>
          <w:rFonts w:ascii="Times New Roman" w:hAnsi="Times New Roman" w:cs="Times New Roman"/>
          <w:color w:val="0D0D0D" w:themeColor="text1" w:themeTint="F2"/>
          <w:sz w:val="24"/>
          <w:szCs w:val="24"/>
        </w:rPr>
        <w:t xml:space="preserve">± </w:t>
      </w:r>
      <w:r w:rsidR="008D4B22" w:rsidRPr="00842FE5">
        <w:rPr>
          <w:rFonts w:ascii="Times New Roman" w:hAnsi="Times New Roman" w:cs="Times New Roman"/>
          <w:color w:val="0D0D0D" w:themeColor="text1" w:themeTint="F2"/>
          <w:sz w:val="24"/>
          <w:szCs w:val="24"/>
        </w:rPr>
        <w:t>50.17</w:t>
      </w:r>
      <w:r w:rsidR="00F456EB" w:rsidRPr="00842FE5">
        <w:rPr>
          <w:rFonts w:ascii="Times New Roman" w:hAnsi="Times New Roman" w:cs="Times New Roman"/>
          <w:color w:val="0D0D0D" w:themeColor="text1" w:themeTint="F2"/>
          <w:sz w:val="24"/>
          <w:szCs w:val="24"/>
        </w:rPr>
        <w:t xml:space="preserve"> mg/dL and</w:t>
      </w:r>
      <w:r w:rsidR="002350CA" w:rsidRPr="00842FE5">
        <w:rPr>
          <w:rFonts w:ascii="Times New Roman" w:hAnsi="Times New Roman" w:cs="Times New Roman"/>
          <w:color w:val="0D0D0D" w:themeColor="text1" w:themeTint="F2"/>
          <w:sz w:val="24"/>
          <w:szCs w:val="24"/>
        </w:rPr>
        <w:t xml:space="preserve"> </w:t>
      </w:r>
      <w:r w:rsidR="00F456EB" w:rsidRPr="00842FE5">
        <w:rPr>
          <w:rFonts w:ascii="Times New Roman" w:hAnsi="Times New Roman" w:cs="Times New Roman"/>
          <w:color w:val="0D0D0D" w:themeColor="text1" w:themeTint="F2"/>
          <w:sz w:val="24"/>
          <w:szCs w:val="24"/>
        </w:rPr>
        <w:t>133.54</w:t>
      </w:r>
      <w:r w:rsidR="008D4B22" w:rsidRPr="00842FE5">
        <w:rPr>
          <w:rFonts w:ascii="Times New Roman" w:hAnsi="Times New Roman" w:cs="Times New Roman"/>
          <w:color w:val="0D0D0D" w:themeColor="text1" w:themeTint="F2"/>
          <w:sz w:val="24"/>
          <w:szCs w:val="24"/>
        </w:rPr>
        <w:t xml:space="preserve"> </w:t>
      </w:r>
      <w:r w:rsidR="000A462A" w:rsidRPr="00842FE5">
        <w:rPr>
          <w:rFonts w:ascii="Times New Roman" w:hAnsi="Times New Roman" w:cs="Times New Roman"/>
          <w:color w:val="0D0D0D" w:themeColor="text1" w:themeTint="F2"/>
          <w:sz w:val="24"/>
          <w:szCs w:val="24"/>
        </w:rPr>
        <w:t xml:space="preserve">± </w:t>
      </w:r>
      <w:r w:rsidR="008D4B22" w:rsidRPr="00842FE5">
        <w:rPr>
          <w:rFonts w:ascii="Times New Roman" w:hAnsi="Times New Roman" w:cs="Times New Roman"/>
          <w:color w:val="0D0D0D" w:themeColor="text1" w:themeTint="F2"/>
          <w:sz w:val="24"/>
          <w:szCs w:val="24"/>
        </w:rPr>
        <w:t>50.34</w:t>
      </w:r>
      <w:r w:rsidR="00F456EB" w:rsidRPr="00842FE5">
        <w:rPr>
          <w:rFonts w:ascii="Times New Roman" w:hAnsi="Times New Roman" w:cs="Times New Roman"/>
          <w:color w:val="0D0D0D" w:themeColor="text1" w:themeTint="F2"/>
          <w:sz w:val="24"/>
          <w:szCs w:val="24"/>
        </w:rPr>
        <w:t xml:space="preserve"> mg/dL at </w:t>
      </w:r>
      <w:r w:rsidR="002350CA" w:rsidRPr="00842FE5">
        <w:rPr>
          <w:rFonts w:ascii="Times New Roman" w:hAnsi="Times New Roman" w:cs="Times New Roman"/>
          <w:color w:val="0D0D0D" w:themeColor="text1" w:themeTint="F2"/>
          <w:sz w:val="24"/>
          <w:szCs w:val="24"/>
        </w:rPr>
        <w:t>We</w:t>
      </w:r>
      <w:r w:rsidR="00B15181" w:rsidRPr="00842FE5">
        <w:rPr>
          <w:rFonts w:ascii="Times New Roman" w:hAnsi="Times New Roman" w:cs="Times New Roman"/>
          <w:color w:val="0D0D0D" w:themeColor="text1" w:themeTint="F2"/>
          <w:sz w:val="24"/>
          <w:szCs w:val="24"/>
        </w:rPr>
        <w:t>e</w:t>
      </w:r>
      <w:r w:rsidR="002350CA" w:rsidRPr="00842FE5">
        <w:rPr>
          <w:rFonts w:ascii="Times New Roman" w:hAnsi="Times New Roman" w:cs="Times New Roman"/>
          <w:color w:val="0D0D0D" w:themeColor="text1" w:themeTint="F2"/>
          <w:sz w:val="24"/>
          <w:szCs w:val="24"/>
        </w:rPr>
        <w:t xml:space="preserve">k 12 and </w:t>
      </w:r>
      <w:r w:rsidR="00F456EB" w:rsidRPr="00842FE5">
        <w:rPr>
          <w:rFonts w:ascii="Times New Roman" w:hAnsi="Times New Roman" w:cs="Times New Roman"/>
          <w:color w:val="0D0D0D" w:themeColor="text1" w:themeTint="F2"/>
          <w:sz w:val="24"/>
          <w:szCs w:val="24"/>
        </w:rPr>
        <w:t>Week 26</w:t>
      </w:r>
      <w:r w:rsidR="002350CA" w:rsidRPr="00842FE5">
        <w:rPr>
          <w:rFonts w:ascii="Times New Roman" w:hAnsi="Times New Roman" w:cs="Times New Roman"/>
          <w:color w:val="0D0D0D" w:themeColor="text1" w:themeTint="F2"/>
          <w:sz w:val="24"/>
          <w:szCs w:val="24"/>
        </w:rPr>
        <w:t>, respectively.</w:t>
      </w:r>
      <w:r w:rsidR="00F456EB" w:rsidRPr="00842FE5">
        <w:rPr>
          <w:rFonts w:ascii="Times New Roman" w:hAnsi="Times New Roman" w:cs="Times New Roman"/>
          <w:color w:val="0D0D0D" w:themeColor="text1" w:themeTint="F2"/>
          <w:sz w:val="24"/>
          <w:szCs w:val="24"/>
        </w:rPr>
        <w:t xml:space="preserve"> </w:t>
      </w:r>
      <w:r w:rsidR="006D4575" w:rsidRPr="00842FE5">
        <w:rPr>
          <w:rFonts w:ascii="Times New Roman" w:hAnsi="Times New Roman" w:cs="Times New Roman"/>
          <w:color w:val="0D0D0D" w:themeColor="text1" w:themeTint="F2"/>
          <w:sz w:val="24"/>
          <w:szCs w:val="24"/>
        </w:rPr>
        <w:t>A c</w:t>
      </w:r>
      <w:r w:rsidR="00705F3C" w:rsidRPr="00842FE5">
        <w:rPr>
          <w:rFonts w:ascii="Times New Roman" w:hAnsi="Times New Roman" w:cs="Times New Roman"/>
          <w:color w:val="0D0D0D" w:themeColor="text1" w:themeTint="F2"/>
          <w:sz w:val="24"/>
          <w:szCs w:val="24"/>
        </w:rPr>
        <w:t xml:space="preserve">linically relevant </w:t>
      </w:r>
      <w:r w:rsidR="008F1057" w:rsidRPr="00842FE5">
        <w:rPr>
          <w:rFonts w:ascii="Times New Roman" w:hAnsi="Times New Roman" w:cs="Times New Roman"/>
          <w:color w:val="0D0D0D" w:themeColor="text1" w:themeTint="F2"/>
          <w:sz w:val="24"/>
          <w:szCs w:val="24"/>
        </w:rPr>
        <w:t xml:space="preserve">reduction </w:t>
      </w:r>
      <w:r w:rsidR="006B0425" w:rsidRPr="00842FE5">
        <w:rPr>
          <w:rFonts w:ascii="Times New Roman" w:hAnsi="Times New Roman" w:cs="Times New Roman"/>
          <w:color w:val="0D0D0D" w:themeColor="text1" w:themeTint="F2"/>
          <w:sz w:val="24"/>
          <w:szCs w:val="24"/>
        </w:rPr>
        <w:t>in FPG from baseline</w:t>
      </w:r>
      <w:r w:rsidR="001D7044" w:rsidRPr="00842FE5">
        <w:rPr>
          <w:rFonts w:ascii="Times New Roman" w:hAnsi="Times New Roman" w:cs="Times New Roman"/>
          <w:color w:val="0D0D0D" w:themeColor="text1" w:themeTint="F2"/>
          <w:sz w:val="24"/>
          <w:szCs w:val="24"/>
        </w:rPr>
        <w:t xml:space="preserve"> </w:t>
      </w:r>
      <w:r w:rsidR="00555E7F" w:rsidRPr="00842FE5">
        <w:rPr>
          <w:rFonts w:ascii="Times New Roman" w:hAnsi="Times New Roman" w:cs="Times New Roman"/>
          <w:color w:val="0D0D0D" w:themeColor="text1" w:themeTint="F2"/>
          <w:sz w:val="24"/>
          <w:szCs w:val="24"/>
        </w:rPr>
        <w:t xml:space="preserve">was observed </w:t>
      </w:r>
      <w:r w:rsidR="006D4575" w:rsidRPr="00842FE5">
        <w:rPr>
          <w:rFonts w:ascii="Times New Roman" w:hAnsi="Times New Roman" w:cs="Times New Roman"/>
          <w:color w:val="0D0D0D" w:themeColor="text1" w:themeTint="F2"/>
          <w:sz w:val="24"/>
          <w:szCs w:val="24"/>
        </w:rPr>
        <w:t xml:space="preserve">at </w:t>
      </w:r>
      <w:r w:rsidR="00A423F4" w:rsidRPr="00842FE5">
        <w:rPr>
          <w:rFonts w:ascii="Times New Roman" w:hAnsi="Times New Roman" w:cs="Times New Roman"/>
          <w:color w:val="0D0D0D" w:themeColor="text1" w:themeTint="F2"/>
          <w:sz w:val="24"/>
          <w:szCs w:val="24"/>
        </w:rPr>
        <w:t>Week 12 (LS mean</w:t>
      </w:r>
      <w:r w:rsidR="00555E7F" w:rsidRPr="00842FE5">
        <w:rPr>
          <w:rFonts w:ascii="Times New Roman" w:hAnsi="Times New Roman" w:cs="Times New Roman"/>
          <w:color w:val="0D0D0D" w:themeColor="text1" w:themeTint="F2"/>
          <w:sz w:val="24"/>
          <w:szCs w:val="24"/>
        </w:rPr>
        <w:t xml:space="preserve"> </w:t>
      </w:r>
      <w:r w:rsidR="00A423F4" w:rsidRPr="00842FE5">
        <w:rPr>
          <w:rFonts w:ascii="Times New Roman" w:hAnsi="Times New Roman" w:cs="Times New Roman"/>
          <w:color w:val="0D0D0D" w:themeColor="text1" w:themeTint="F2"/>
          <w:sz w:val="24"/>
          <w:szCs w:val="24"/>
        </w:rPr>
        <w:t>change</w:t>
      </w:r>
      <w:r w:rsidR="00500019" w:rsidRPr="00842FE5">
        <w:rPr>
          <w:rFonts w:ascii="Times New Roman" w:hAnsi="Times New Roman" w:cs="Times New Roman"/>
          <w:color w:val="0D0D0D" w:themeColor="text1" w:themeTint="F2"/>
          <w:sz w:val="24"/>
          <w:szCs w:val="24"/>
        </w:rPr>
        <w:t xml:space="preserve"> [95% CI]</w:t>
      </w:r>
      <w:r w:rsidR="00A423F4" w:rsidRPr="00842FE5">
        <w:rPr>
          <w:rFonts w:ascii="Times New Roman" w:hAnsi="Times New Roman" w:cs="Times New Roman"/>
          <w:color w:val="0D0D0D" w:themeColor="text1" w:themeTint="F2"/>
          <w:sz w:val="24"/>
          <w:szCs w:val="24"/>
        </w:rPr>
        <w:t xml:space="preserve"> </w:t>
      </w:r>
      <w:r w:rsidR="00BC408E" w:rsidRPr="00842FE5">
        <w:rPr>
          <w:rFonts w:ascii="Times New Roman" w:hAnsi="Times New Roman" w:cs="Times New Roman"/>
          <w:color w:val="0D0D0D" w:themeColor="text1" w:themeTint="F2"/>
          <w:sz w:val="24"/>
          <w:szCs w:val="24"/>
        </w:rPr>
        <w:t>−</w:t>
      </w:r>
      <w:r w:rsidR="00B827A8" w:rsidRPr="00842FE5">
        <w:rPr>
          <w:rFonts w:ascii="Times New Roman" w:hAnsi="Times New Roman" w:cs="Times New Roman"/>
          <w:color w:val="0D0D0D" w:themeColor="text1" w:themeTint="F2"/>
          <w:sz w:val="24"/>
          <w:szCs w:val="24"/>
        </w:rPr>
        <w:t>25.</w:t>
      </w:r>
      <w:r w:rsidR="009236A0" w:rsidRPr="00842FE5">
        <w:rPr>
          <w:rFonts w:ascii="Times New Roman" w:hAnsi="Times New Roman" w:cs="Times New Roman"/>
          <w:color w:val="0D0D0D" w:themeColor="text1" w:themeTint="F2"/>
          <w:sz w:val="24"/>
          <w:szCs w:val="24"/>
        </w:rPr>
        <w:t>86</w:t>
      </w:r>
      <w:r w:rsidR="00B827A8" w:rsidRPr="00842FE5">
        <w:rPr>
          <w:rFonts w:ascii="Times New Roman" w:hAnsi="Times New Roman" w:cs="Times New Roman"/>
          <w:color w:val="0D0D0D" w:themeColor="text1" w:themeTint="F2"/>
          <w:sz w:val="24"/>
          <w:szCs w:val="24"/>
        </w:rPr>
        <w:t xml:space="preserve"> </w:t>
      </w:r>
      <w:r w:rsidR="008E5112" w:rsidRPr="00842FE5">
        <w:rPr>
          <w:rFonts w:ascii="Times New Roman" w:hAnsi="Times New Roman" w:cs="Times New Roman"/>
          <w:color w:val="0D0D0D" w:themeColor="text1" w:themeTint="F2"/>
          <w:sz w:val="24"/>
          <w:szCs w:val="24"/>
        </w:rPr>
        <w:t>[−31.2</w:t>
      </w:r>
      <w:r w:rsidR="00097793" w:rsidRPr="00842FE5">
        <w:rPr>
          <w:rFonts w:ascii="Times New Roman" w:hAnsi="Times New Roman" w:cs="Times New Roman"/>
          <w:color w:val="0D0D0D" w:themeColor="text1" w:themeTint="F2"/>
          <w:sz w:val="24"/>
          <w:szCs w:val="24"/>
        </w:rPr>
        <w:t>3</w:t>
      </w:r>
      <w:r w:rsidR="008E5112" w:rsidRPr="00842FE5">
        <w:rPr>
          <w:rFonts w:ascii="Times New Roman" w:hAnsi="Times New Roman" w:cs="Times New Roman"/>
          <w:color w:val="0D0D0D" w:themeColor="text1" w:themeTint="F2"/>
          <w:sz w:val="24"/>
          <w:szCs w:val="24"/>
        </w:rPr>
        <w:t>, −20.</w:t>
      </w:r>
      <w:r w:rsidR="00097793" w:rsidRPr="00842FE5">
        <w:rPr>
          <w:rFonts w:ascii="Times New Roman" w:hAnsi="Times New Roman" w:cs="Times New Roman"/>
          <w:color w:val="0D0D0D" w:themeColor="text1" w:themeTint="F2"/>
          <w:sz w:val="24"/>
          <w:szCs w:val="24"/>
        </w:rPr>
        <w:t>49</w:t>
      </w:r>
      <w:r w:rsidR="008E5112" w:rsidRPr="00842FE5">
        <w:rPr>
          <w:rFonts w:ascii="Times New Roman" w:hAnsi="Times New Roman" w:cs="Times New Roman"/>
          <w:color w:val="0D0D0D" w:themeColor="text1" w:themeTint="F2"/>
          <w:sz w:val="24"/>
          <w:szCs w:val="24"/>
        </w:rPr>
        <w:t>]</w:t>
      </w:r>
      <w:r w:rsidR="00B827A8" w:rsidRPr="00842FE5">
        <w:rPr>
          <w:rFonts w:ascii="Times New Roman" w:hAnsi="Times New Roman" w:cs="Times New Roman"/>
          <w:color w:val="0D0D0D" w:themeColor="text1" w:themeTint="F2"/>
          <w:sz w:val="24"/>
          <w:szCs w:val="24"/>
        </w:rPr>
        <w:t xml:space="preserve"> mg/dL</w:t>
      </w:r>
      <w:r w:rsidR="00A423F4" w:rsidRPr="00842FE5">
        <w:rPr>
          <w:rFonts w:ascii="Times New Roman" w:hAnsi="Times New Roman" w:cs="Times New Roman"/>
          <w:color w:val="0D0D0D" w:themeColor="text1" w:themeTint="F2"/>
          <w:sz w:val="24"/>
          <w:szCs w:val="24"/>
        </w:rPr>
        <w:t>)</w:t>
      </w:r>
      <w:r w:rsidR="000345B0" w:rsidRPr="00842FE5">
        <w:rPr>
          <w:rFonts w:ascii="Times New Roman" w:hAnsi="Times New Roman" w:cs="Times New Roman"/>
          <w:color w:val="0D0D0D" w:themeColor="text1" w:themeTint="F2"/>
          <w:sz w:val="24"/>
          <w:szCs w:val="24"/>
        </w:rPr>
        <w:t xml:space="preserve"> </w:t>
      </w:r>
      <w:r w:rsidR="00B827A8" w:rsidRPr="00842FE5">
        <w:rPr>
          <w:rFonts w:ascii="Times New Roman" w:hAnsi="Times New Roman" w:cs="Times New Roman"/>
          <w:color w:val="0D0D0D" w:themeColor="text1" w:themeTint="F2"/>
          <w:sz w:val="24"/>
          <w:szCs w:val="24"/>
        </w:rPr>
        <w:t xml:space="preserve">and </w:t>
      </w:r>
      <w:r w:rsidR="00485028" w:rsidRPr="00842FE5">
        <w:rPr>
          <w:rFonts w:ascii="Times New Roman" w:hAnsi="Times New Roman" w:cs="Times New Roman"/>
          <w:color w:val="0D0D0D" w:themeColor="text1" w:themeTint="F2"/>
          <w:sz w:val="24"/>
          <w:szCs w:val="24"/>
        </w:rPr>
        <w:t xml:space="preserve">at </w:t>
      </w:r>
      <w:r w:rsidR="00A423F4" w:rsidRPr="00842FE5">
        <w:rPr>
          <w:rFonts w:ascii="Times New Roman" w:hAnsi="Times New Roman" w:cs="Times New Roman"/>
          <w:color w:val="0D0D0D" w:themeColor="text1" w:themeTint="F2"/>
          <w:sz w:val="24"/>
          <w:szCs w:val="24"/>
        </w:rPr>
        <w:t>Week 26 (</w:t>
      </w:r>
      <w:r w:rsidR="00BC408E" w:rsidRPr="00842FE5">
        <w:rPr>
          <w:rFonts w:ascii="Times New Roman" w:hAnsi="Times New Roman" w:cs="Times New Roman"/>
          <w:color w:val="0D0D0D" w:themeColor="text1" w:themeTint="F2"/>
          <w:sz w:val="24"/>
          <w:szCs w:val="24"/>
        </w:rPr>
        <w:t>−</w:t>
      </w:r>
      <w:r w:rsidR="00CA3860" w:rsidRPr="00842FE5">
        <w:rPr>
          <w:rFonts w:ascii="Times New Roman" w:hAnsi="Times New Roman" w:cs="Times New Roman"/>
          <w:color w:val="0D0D0D" w:themeColor="text1" w:themeTint="F2"/>
          <w:sz w:val="24"/>
          <w:szCs w:val="24"/>
        </w:rPr>
        <w:t>29.</w:t>
      </w:r>
      <w:r w:rsidR="00097793" w:rsidRPr="00842FE5">
        <w:rPr>
          <w:rFonts w:ascii="Times New Roman" w:hAnsi="Times New Roman" w:cs="Times New Roman"/>
          <w:color w:val="0D0D0D" w:themeColor="text1" w:themeTint="F2"/>
          <w:sz w:val="24"/>
          <w:szCs w:val="24"/>
        </w:rPr>
        <w:t>88</w:t>
      </w:r>
      <w:r w:rsidR="00B827A8" w:rsidRPr="00842FE5">
        <w:rPr>
          <w:rFonts w:ascii="Times New Roman" w:hAnsi="Times New Roman" w:cs="Times New Roman"/>
          <w:color w:val="0D0D0D" w:themeColor="text1" w:themeTint="F2"/>
          <w:sz w:val="24"/>
          <w:szCs w:val="24"/>
        </w:rPr>
        <w:t xml:space="preserve"> </w:t>
      </w:r>
      <w:r w:rsidR="009F507D" w:rsidRPr="00842FE5">
        <w:rPr>
          <w:rFonts w:ascii="Times New Roman" w:hAnsi="Times New Roman" w:cs="Times New Roman"/>
          <w:color w:val="0D0D0D" w:themeColor="text1" w:themeTint="F2"/>
          <w:sz w:val="24"/>
          <w:szCs w:val="24"/>
        </w:rPr>
        <w:t>[</w:t>
      </w:r>
      <w:r w:rsidR="00380FAE" w:rsidRPr="00842FE5">
        <w:rPr>
          <w:rFonts w:ascii="Times New Roman" w:hAnsi="Times New Roman" w:cs="Times New Roman"/>
          <w:color w:val="0D0D0D" w:themeColor="text1" w:themeTint="F2"/>
          <w:sz w:val="24"/>
          <w:szCs w:val="24"/>
        </w:rPr>
        <w:t xml:space="preserve">−35.13, </w:t>
      </w:r>
      <w:r w:rsidR="00D23ABB" w:rsidRPr="00842FE5">
        <w:rPr>
          <w:rFonts w:ascii="Times New Roman" w:hAnsi="Times New Roman" w:cs="Times New Roman"/>
          <w:color w:val="0D0D0D" w:themeColor="text1" w:themeTint="F2"/>
          <w:sz w:val="24"/>
          <w:szCs w:val="24"/>
        </w:rPr>
        <w:t>−</w:t>
      </w:r>
      <w:r w:rsidR="00380FAE" w:rsidRPr="00842FE5">
        <w:rPr>
          <w:rFonts w:ascii="Times New Roman" w:hAnsi="Times New Roman" w:cs="Times New Roman"/>
          <w:color w:val="0D0D0D" w:themeColor="text1" w:themeTint="F2"/>
          <w:sz w:val="24"/>
          <w:szCs w:val="24"/>
        </w:rPr>
        <w:t>24.63</w:t>
      </w:r>
      <w:r w:rsidR="009F507D" w:rsidRPr="00842FE5">
        <w:rPr>
          <w:rFonts w:ascii="Times New Roman" w:hAnsi="Times New Roman" w:cs="Times New Roman"/>
          <w:color w:val="0D0D0D" w:themeColor="text1" w:themeTint="F2"/>
          <w:sz w:val="24"/>
          <w:szCs w:val="24"/>
        </w:rPr>
        <w:t xml:space="preserve">] </w:t>
      </w:r>
      <w:r w:rsidR="00B827A8" w:rsidRPr="00842FE5">
        <w:rPr>
          <w:rFonts w:ascii="Times New Roman" w:hAnsi="Times New Roman" w:cs="Times New Roman"/>
          <w:color w:val="0D0D0D" w:themeColor="text1" w:themeTint="F2"/>
          <w:sz w:val="24"/>
          <w:szCs w:val="24"/>
        </w:rPr>
        <w:t>mg/d</w:t>
      </w:r>
      <w:r w:rsidR="0045495B" w:rsidRPr="00842FE5">
        <w:rPr>
          <w:rFonts w:ascii="Times New Roman" w:hAnsi="Times New Roman" w:cs="Times New Roman"/>
          <w:color w:val="0D0D0D" w:themeColor="text1" w:themeTint="F2"/>
          <w:sz w:val="24"/>
          <w:szCs w:val="24"/>
        </w:rPr>
        <w:t>L</w:t>
      </w:r>
      <w:r w:rsidR="00A423F4" w:rsidRPr="00842FE5">
        <w:rPr>
          <w:rFonts w:ascii="Times New Roman" w:hAnsi="Times New Roman" w:cs="Times New Roman"/>
          <w:color w:val="0D0D0D" w:themeColor="text1" w:themeTint="F2"/>
          <w:sz w:val="24"/>
          <w:szCs w:val="24"/>
        </w:rPr>
        <w:t>)</w:t>
      </w:r>
      <w:r w:rsidR="00054AE7" w:rsidRPr="00842FE5">
        <w:rPr>
          <w:rFonts w:ascii="Times New Roman" w:hAnsi="Times New Roman" w:cs="Times New Roman"/>
          <w:color w:val="0D0D0D" w:themeColor="text1" w:themeTint="F2"/>
          <w:sz w:val="24"/>
          <w:szCs w:val="24"/>
        </w:rPr>
        <w:t xml:space="preserve"> (</w:t>
      </w:r>
      <w:r w:rsidR="00054AE7" w:rsidRPr="00842FE5">
        <w:rPr>
          <w:rFonts w:ascii="Times New Roman" w:hAnsi="Times New Roman" w:cs="Times New Roman"/>
          <w:b/>
          <w:bCs/>
          <w:color w:val="0D0D0D" w:themeColor="text1" w:themeTint="F2"/>
          <w:sz w:val="24"/>
          <w:szCs w:val="24"/>
        </w:rPr>
        <w:t>Figure 2A</w:t>
      </w:r>
      <w:r w:rsidR="00054AE7" w:rsidRPr="00842FE5">
        <w:rPr>
          <w:rFonts w:ascii="Times New Roman" w:hAnsi="Times New Roman" w:cs="Times New Roman"/>
          <w:color w:val="0D0D0D" w:themeColor="text1" w:themeTint="F2"/>
          <w:sz w:val="24"/>
          <w:szCs w:val="24"/>
        </w:rPr>
        <w:t>)</w:t>
      </w:r>
      <w:r w:rsidR="00B827A8" w:rsidRPr="00842FE5">
        <w:rPr>
          <w:rFonts w:ascii="Times New Roman" w:hAnsi="Times New Roman" w:cs="Times New Roman"/>
          <w:color w:val="0D0D0D" w:themeColor="text1" w:themeTint="F2"/>
          <w:sz w:val="24"/>
          <w:szCs w:val="24"/>
        </w:rPr>
        <w:t xml:space="preserve">. </w:t>
      </w:r>
      <w:r w:rsidR="00C15526" w:rsidRPr="00842FE5">
        <w:rPr>
          <w:rFonts w:ascii="Times New Roman" w:hAnsi="Times New Roman" w:cs="Times New Roman"/>
          <w:color w:val="0D0D0D" w:themeColor="text1" w:themeTint="F2"/>
          <w:sz w:val="24"/>
          <w:szCs w:val="24"/>
        </w:rPr>
        <w:t xml:space="preserve">Mean </w:t>
      </w:r>
      <w:r w:rsidR="005427BB" w:rsidRPr="00842FE5">
        <w:rPr>
          <w:rFonts w:ascii="Times New Roman" w:hAnsi="Times New Roman" w:cs="Times New Roman"/>
          <w:color w:val="0D0D0D" w:themeColor="text1" w:themeTint="F2"/>
          <w:sz w:val="24"/>
          <w:szCs w:val="24"/>
        </w:rPr>
        <w:t>(</w:t>
      </w:r>
      <w:r w:rsidR="003D55C9" w:rsidRPr="00842FE5">
        <w:rPr>
          <w:rFonts w:ascii="Times New Roman" w:hAnsi="Times New Roman" w:cs="Times New Roman"/>
          <w:color w:val="0D0D0D" w:themeColor="text1" w:themeTint="F2"/>
          <w:sz w:val="24"/>
          <w:szCs w:val="24"/>
        </w:rPr>
        <w:t xml:space="preserve">± </w:t>
      </w:r>
      <w:r w:rsidR="005427BB" w:rsidRPr="00842FE5">
        <w:rPr>
          <w:rFonts w:ascii="Times New Roman" w:hAnsi="Times New Roman" w:cs="Times New Roman"/>
          <w:color w:val="0D0D0D" w:themeColor="text1" w:themeTint="F2"/>
          <w:sz w:val="24"/>
          <w:szCs w:val="24"/>
        </w:rPr>
        <w:t xml:space="preserve">SD) </w:t>
      </w:r>
      <w:r w:rsidR="00C15526" w:rsidRPr="00842FE5">
        <w:rPr>
          <w:rFonts w:ascii="Times New Roman" w:hAnsi="Times New Roman" w:cs="Times New Roman"/>
          <w:color w:val="0D0D0D" w:themeColor="text1" w:themeTint="F2"/>
          <w:sz w:val="24"/>
          <w:szCs w:val="24"/>
        </w:rPr>
        <w:t xml:space="preserve">fasting SMPG was 162.30 </w:t>
      </w:r>
      <w:r w:rsidR="00E804C7" w:rsidRPr="00842FE5">
        <w:rPr>
          <w:rFonts w:ascii="Times New Roman" w:hAnsi="Times New Roman" w:cs="Times New Roman"/>
          <w:color w:val="0D0D0D" w:themeColor="text1" w:themeTint="F2"/>
          <w:sz w:val="24"/>
          <w:szCs w:val="24"/>
        </w:rPr>
        <w:t>±</w:t>
      </w:r>
      <w:r w:rsidR="00E804C7">
        <w:rPr>
          <w:rFonts w:ascii="Times New Roman" w:hAnsi="Times New Roman" w:cs="Times New Roman"/>
          <w:color w:val="0D0D0D" w:themeColor="text1" w:themeTint="F2"/>
          <w:sz w:val="24"/>
          <w:szCs w:val="24"/>
        </w:rPr>
        <w:t xml:space="preserve"> </w:t>
      </w:r>
      <w:r w:rsidR="00C15526" w:rsidRPr="00842FE5">
        <w:rPr>
          <w:rFonts w:ascii="Times New Roman" w:hAnsi="Times New Roman" w:cs="Times New Roman"/>
          <w:color w:val="0D0D0D" w:themeColor="text1" w:themeTint="F2"/>
          <w:sz w:val="24"/>
          <w:szCs w:val="24"/>
        </w:rPr>
        <w:t xml:space="preserve">33.38 mg/dL at baseline, 129.07 </w:t>
      </w:r>
      <w:r w:rsidR="00E804C7" w:rsidRPr="00842FE5">
        <w:rPr>
          <w:rFonts w:ascii="Times New Roman" w:hAnsi="Times New Roman" w:cs="Times New Roman"/>
          <w:color w:val="0D0D0D" w:themeColor="text1" w:themeTint="F2"/>
          <w:sz w:val="24"/>
          <w:szCs w:val="24"/>
        </w:rPr>
        <w:t>±</w:t>
      </w:r>
      <w:r w:rsidR="00E804C7">
        <w:rPr>
          <w:rFonts w:ascii="Times New Roman" w:hAnsi="Times New Roman" w:cs="Times New Roman"/>
          <w:color w:val="0D0D0D" w:themeColor="text1" w:themeTint="F2"/>
          <w:sz w:val="24"/>
          <w:szCs w:val="24"/>
        </w:rPr>
        <w:t xml:space="preserve"> </w:t>
      </w:r>
      <w:r w:rsidR="00C15526" w:rsidRPr="00842FE5">
        <w:rPr>
          <w:rFonts w:ascii="Times New Roman" w:hAnsi="Times New Roman" w:cs="Times New Roman"/>
          <w:color w:val="0D0D0D" w:themeColor="text1" w:themeTint="F2"/>
          <w:sz w:val="24"/>
          <w:szCs w:val="24"/>
        </w:rPr>
        <w:t xml:space="preserve">35.28 mg/dL at Week 12, and 126.35 </w:t>
      </w:r>
      <w:r w:rsidR="00E804C7" w:rsidRPr="00842FE5">
        <w:rPr>
          <w:rFonts w:ascii="Times New Roman" w:hAnsi="Times New Roman" w:cs="Times New Roman"/>
          <w:color w:val="0D0D0D" w:themeColor="text1" w:themeTint="F2"/>
          <w:sz w:val="24"/>
          <w:szCs w:val="24"/>
        </w:rPr>
        <w:t>±</w:t>
      </w:r>
      <w:r w:rsidR="00E804C7">
        <w:rPr>
          <w:rFonts w:ascii="Times New Roman" w:hAnsi="Times New Roman" w:cs="Times New Roman"/>
          <w:color w:val="0D0D0D" w:themeColor="text1" w:themeTint="F2"/>
          <w:sz w:val="24"/>
          <w:szCs w:val="24"/>
        </w:rPr>
        <w:t xml:space="preserve"> </w:t>
      </w:r>
      <w:r w:rsidR="00C15526" w:rsidRPr="00842FE5">
        <w:rPr>
          <w:rFonts w:ascii="Times New Roman" w:hAnsi="Times New Roman" w:cs="Times New Roman"/>
          <w:color w:val="0D0D0D" w:themeColor="text1" w:themeTint="F2"/>
          <w:sz w:val="24"/>
          <w:szCs w:val="24"/>
        </w:rPr>
        <w:t>34.89 mg/dL at Week 26</w:t>
      </w:r>
      <w:r w:rsidR="003532BF" w:rsidRPr="00842FE5">
        <w:rPr>
          <w:rFonts w:ascii="Times New Roman" w:hAnsi="Times New Roman" w:cs="Times New Roman"/>
          <w:color w:val="0D0D0D" w:themeColor="text1" w:themeTint="F2"/>
          <w:sz w:val="24"/>
          <w:szCs w:val="24"/>
        </w:rPr>
        <w:t xml:space="preserve"> (</w:t>
      </w:r>
      <w:r w:rsidR="003532BF" w:rsidRPr="00842FE5">
        <w:rPr>
          <w:rFonts w:ascii="Times New Roman" w:hAnsi="Times New Roman" w:cs="Times New Roman"/>
          <w:b/>
          <w:bCs/>
          <w:color w:val="0D0D0D" w:themeColor="text1" w:themeTint="F2"/>
          <w:sz w:val="24"/>
          <w:szCs w:val="24"/>
        </w:rPr>
        <w:t>Figure 2B</w:t>
      </w:r>
      <w:r w:rsidR="003532BF" w:rsidRPr="00842FE5">
        <w:rPr>
          <w:rFonts w:ascii="Times New Roman" w:hAnsi="Times New Roman" w:cs="Times New Roman"/>
          <w:color w:val="0D0D0D" w:themeColor="text1" w:themeTint="F2"/>
          <w:sz w:val="24"/>
          <w:szCs w:val="24"/>
        </w:rPr>
        <w:t>)</w:t>
      </w:r>
      <w:r w:rsidR="000D270C" w:rsidRPr="00842FE5">
        <w:rPr>
          <w:rFonts w:ascii="Times New Roman" w:hAnsi="Times New Roman" w:cs="Times New Roman"/>
          <w:color w:val="0D0D0D" w:themeColor="text1" w:themeTint="F2"/>
          <w:sz w:val="24"/>
          <w:szCs w:val="24"/>
        </w:rPr>
        <w:t>.</w:t>
      </w:r>
      <w:r w:rsidR="00AC7F6D" w:rsidRPr="00842FE5">
        <w:rPr>
          <w:rFonts w:ascii="Times New Roman" w:hAnsi="Times New Roman" w:cs="Times New Roman"/>
          <w:color w:val="0D0D0D" w:themeColor="text1" w:themeTint="F2"/>
          <w:sz w:val="24"/>
          <w:szCs w:val="24"/>
        </w:rPr>
        <w:t xml:space="preserve"> </w:t>
      </w:r>
      <w:r w:rsidR="008D25B5" w:rsidRPr="00842FE5">
        <w:rPr>
          <w:rFonts w:ascii="Times New Roman" w:hAnsi="Times New Roman" w:cs="Times New Roman"/>
          <w:color w:val="0D0D0D" w:themeColor="text1" w:themeTint="F2"/>
          <w:sz w:val="24"/>
          <w:szCs w:val="24"/>
        </w:rPr>
        <w:t xml:space="preserve">A clinically </w:t>
      </w:r>
      <w:r w:rsidR="00326CF9" w:rsidRPr="00842FE5">
        <w:rPr>
          <w:rFonts w:ascii="Times New Roman" w:hAnsi="Times New Roman" w:cs="Times New Roman"/>
          <w:color w:val="0D0D0D" w:themeColor="text1" w:themeTint="F2"/>
          <w:sz w:val="24"/>
          <w:szCs w:val="24"/>
        </w:rPr>
        <w:t>relevant reduction in f</w:t>
      </w:r>
      <w:r w:rsidR="001954BC" w:rsidRPr="00842FE5">
        <w:rPr>
          <w:rFonts w:ascii="Times New Roman" w:hAnsi="Times New Roman" w:cs="Times New Roman"/>
          <w:color w:val="0D0D0D" w:themeColor="text1" w:themeTint="F2"/>
          <w:sz w:val="24"/>
          <w:szCs w:val="24"/>
        </w:rPr>
        <w:t xml:space="preserve">asting </w:t>
      </w:r>
      <w:r w:rsidR="00AA6111" w:rsidRPr="00842FE5">
        <w:rPr>
          <w:rFonts w:ascii="Times New Roman" w:hAnsi="Times New Roman" w:cs="Times New Roman"/>
          <w:color w:val="0D0D0D" w:themeColor="text1" w:themeTint="F2"/>
          <w:sz w:val="24"/>
          <w:szCs w:val="24"/>
        </w:rPr>
        <w:t xml:space="preserve">SMPG </w:t>
      </w:r>
      <w:r w:rsidR="00326CF9" w:rsidRPr="00842FE5">
        <w:rPr>
          <w:rFonts w:ascii="Times New Roman" w:hAnsi="Times New Roman" w:cs="Times New Roman"/>
          <w:color w:val="0D0D0D" w:themeColor="text1" w:themeTint="F2"/>
          <w:sz w:val="24"/>
          <w:szCs w:val="24"/>
        </w:rPr>
        <w:t xml:space="preserve">from baseline </w:t>
      </w:r>
      <w:r w:rsidR="00FE1588" w:rsidRPr="00842FE5">
        <w:rPr>
          <w:rFonts w:ascii="Times New Roman" w:hAnsi="Times New Roman" w:cs="Times New Roman"/>
          <w:color w:val="0D0D0D" w:themeColor="text1" w:themeTint="F2"/>
          <w:sz w:val="24"/>
          <w:szCs w:val="24"/>
        </w:rPr>
        <w:t xml:space="preserve">was observed at </w:t>
      </w:r>
      <w:r w:rsidR="00642ED1" w:rsidRPr="00842FE5">
        <w:rPr>
          <w:rFonts w:ascii="Times New Roman" w:hAnsi="Times New Roman" w:cs="Times New Roman"/>
          <w:color w:val="0D0D0D" w:themeColor="text1" w:themeTint="F2"/>
          <w:sz w:val="24"/>
          <w:szCs w:val="24"/>
        </w:rPr>
        <w:t xml:space="preserve">Week 12 </w:t>
      </w:r>
      <w:r w:rsidR="0073254D" w:rsidRPr="00842FE5">
        <w:rPr>
          <w:rFonts w:ascii="Times New Roman" w:hAnsi="Times New Roman" w:cs="Times New Roman"/>
          <w:color w:val="0D0D0D" w:themeColor="text1" w:themeTint="F2"/>
          <w:sz w:val="24"/>
          <w:szCs w:val="24"/>
        </w:rPr>
        <w:t>(</w:t>
      </w:r>
      <w:r w:rsidR="00327C08" w:rsidRPr="00842FE5">
        <w:rPr>
          <w:rFonts w:ascii="Times New Roman" w:hAnsi="Times New Roman" w:cs="Times New Roman"/>
          <w:color w:val="0D0D0D" w:themeColor="text1" w:themeTint="F2"/>
          <w:sz w:val="24"/>
          <w:szCs w:val="24"/>
        </w:rPr>
        <w:t xml:space="preserve">LS mean change </w:t>
      </w:r>
      <w:r w:rsidR="00FE1588" w:rsidRPr="00842FE5">
        <w:rPr>
          <w:rFonts w:ascii="Times New Roman" w:hAnsi="Times New Roman" w:cs="Times New Roman"/>
          <w:color w:val="0D0D0D" w:themeColor="text1" w:themeTint="F2"/>
          <w:sz w:val="24"/>
          <w:szCs w:val="24"/>
        </w:rPr>
        <w:t>[</w:t>
      </w:r>
      <w:r w:rsidR="00CD3464" w:rsidRPr="00842FE5">
        <w:rPr>
          <w:rFonts w:ascii="Times New Roman" w:hAnsi="Times New Roman" w:cs="Times New Roman"/>
          <w:color w:val="0D0D0D" w:themeColor="text1" w:themeTint="F2"/>
          <w:sz w:val="24"/>
          <w:szCs w:val="24"/>
        </w:rPr>
        <w:t>95</w:t>
      </w:r>
      <w:r w:rsidR="00FE1588" w:rsidRPr="00842FE5">
        <w:rPr>
          <w:rFonts w:ascii="Times New Roman" w:hAnsi="Times New Roman" w:cs="Times New Roman"/>
          <w:color w:val="0D0D0D" w:themeColor="text1" w:themeTint="F2"/>
          <w:sz w:val="24"/>
          <w:szCs w:val="24"/>
        </w:rPr>
        <w:t>% CI]</w:t>
      </w:r>
      <w:r w:rsidR="00327C08" w:rsidRPr="00842FE5">
        <w:rPr>
          <w:rFonts w:ascii="Times New Roman" w:hAnsi="Times New Roman" w:cs="Times New Roman"/>
          <w:color w:val="0D0D0D" w:themeColor="text1" w:themeTint="F2"/>
          <w:sz w:val="24"/>
          <w:szCs w:val="24"/>
        </w:rPr>
        <w:t xml:space="preserve"> </w:t>
      </w:r>
      <w:r w:rsidR="00613A20" w:rsidRPr="00842FE5">
        <w:rPr>
          <w:rFonts w:ascii="Times New Roman" w:hAnsi="Times New Roman" w:cs="Times New Roman"/>
          <w:color w:val="0D0D0D" w:themeColor="text1" w:themeTint="F2"/>
          <w:sz w:val="24"/>
          <w:szCs w:val="24"/>
        </w:rPr>
        <w:t>−</w:t>
      </w:r>
      <w:r w:rsidR="00642ED1" w:rsidRPr="00842FE5">
        <w:rPr>
          <w:rFonts w:ascii="Times New Roman" w:hAnsi="Times New Roman" w:cs="Times New Roman"/>
          <w:color w:val="0D0D0D" w:themeColor="text1" w:themeTint="F2"/>
          <w:sz w:val="24"/>
          <w:szCs w:val="24"/>
        </w:rPr>
        <w:t>33.</w:t>
      </w:r>
      <w:r w:rsidR="001A7586" w:rsidRPr="00842FE5">
        <w:rPr>
          <w:rFonts w:ascii="Times New Roman" w:hAnsi="Times New Roman" w:cs="Times New Roman"/>
          <w:color w:val="0D0D0D" w:themeColor="text1" w:themeTint="F2"/>
          <w:sz w:val="24"/>
          <w:szCs w:val="24"/>
        </w:rPr>
        <w:t>2</w:t>
      </w:r>
      <w:r w:rsidR="00F815FC" w:rsidRPr="00842FE5">
        <w:rPr>
          <w:rFonts w:ascii="Times New Roman" w:hAnsi="Times New Roman" w:cs="Times New Roman"/>
          <w:color w:val="0D0D0D" w:themeColor="text1" w:themeTint="F2"/>
          <w:sz w:val="24"/>
          <w:szCs w:val="24"/>
        </w:rPr>
        <w:t>0</w:t>
      </w:r>
      <w:r w:rsidR="00642ED1" w:rsidRPr="00842FE5">
        <w:rPr>
          <w:rFonts w:ascii="Times New Roman" w:hAnsi="Times New Roman" w:cs="Times New Roman"/>
          <w:color w:val="0D0D0D" w:themeColor="text1" w:themeTint="F2"/>
          <w:sz w:val="24"/>
          <w:szCs w:val="24"/>
        </w:rPr>
        <w:t xml:space="preserve"> </w:t>
      </w:r>
      <w:r w:rsidR="00D9384D" w:rsidRPr="00842FE5">
        <w:rPr>
          <w:rFonts w:ascii="Times New Roman" w:hAnsi="Times New Roman" w:cs="Times New Roman"/>
          <w:color w:val="0D0D0D" w:themeColor="text1" w:themeTint="F2"/>
          <w:sz w:val="24"/>
          <w:szCs w:val="24"/>
        </w:rPr>
        <w:t>[−36.</w:t>
      </w:r>
      <w:r w:rsidR="00543FDC" w:rsidRPr="00842FE5">
        <w:rPr>
          <w:rFonts w:ascii="Times New Roman" w:hAnsi="Times New Roman" w:cs="Times New Roman"/>
          <w:color w:val="0D0D0D" w:themeColor="text1" w:themeTint="F2"/>
          <w:sz w:val="24"/>
          <w:szCs w:val="24"/>
        </w:rPr>
        <w:t>7</w:t>
      </w:r>
      <w:r w:rsidR="00F815FC" w:rsidRPr="00842FE5">
        <w:rPr>
          <w:rFonts w:ascii="Times New Roman" w:hAnsi="Times New Roman" w:cs="Times New Roman"/>
          <w:color w:val="0D0D0D" w:themeColor="text1" w:themeTint="F2"/>
          <w:sz w:val="24"/>
          <w:szCs w:val="24"/>
        </w:rPr>
        <w:t>4</w:t>
      </w:r>
      <w:r w:rsidR="00543FDC" w:rsidRPr="00842FE5">
        <w:rPr>
          <w:rFonts w:ascii="Times New Roman" w:hAnsi="Times New Roman" w:cs="Times New Roman"/>
          <w:color w:val="0D0D0D" w:themeColor="text1" w:themeTint="F2"/>
          <w:sz w:val="24"/>
          <w:szCs w:val="24"/>
        </w:rPr>
        <w:t>, −29.</w:t>
      </w:r>
      <w:r w:rsidR="00F815FC" w:rsidRPr="00842FE5">
        <w:rPr>
          <w:rFonts w:ascii="Times New Roman" w:hAnsi="Times New Roman" w:cs="Times New Roman"/>
          <w:color w:val="0D0D0D" w:themeColor="text1" w:themeTint="F2"/>
          <w:sz w:val="24"/>
          <w:szCs w:val="24"/>
        </w:rPr>
        <w:t>66</w:t>
      </w:r>
      <w:r w:rsidR="00D9384D" w:rsidRPr="00842FE5">
        <w:rPr>
          <w:rFonts w:ascii="Times New Roman" w:hAnsi="Times New Roman" w:cs="Times New Roman"/>
          <w:color w:val="0D0D0D" w:themeColor="text1" w:themeTint="F2"/>
          <w:sz w:val="24"/>
          <w:szCs w:val="24"/>
        </w:rPr>
        <w:t>]</w:t>
      </w:r>
      <w:r w:rsidR="006F277D" w:rsidRPr="00842FE5">
        <w:rPr>
          <w:rFonts w:ascii="Times New Roman" w:hAnsi="Times New Roman" w:cs="Times New Roman"/>
          <w:color w:val="0D0D0D" w:themeColor="text1" w:themeTint="F2"/>
          <w:sz w:val="24"/>
          <w:szCs w:val="24"/>
        </w:rPr>
        <w:t xml:space="preserve"> </w:t>
      </w:r>
      <w:r w:rsidR="00642ED1" w:rsidRPr="00842FE5">
        <w:rPr>
          <w:rFonts w:ascii="Times New Roman" w:hAnsi="Times New Roman" w:cs="Times New Roman"/>
          <w:color w:val="0D0D0D" w:themeColor="text1" w:themeTint="F2"/>
          <w:sz w:val="24"/>
          <w:szCs w:val="24"/>
        </w:rPr>
        <w:t>mg/dL</w:t>
      </w:r>
      <w:r w:rsidR="0073254D" w:rsidRPr="00842FE5">
        <w:rPr>
          <w:rFonts w:ascii="Times New Roman" w:hAnsi="Times New Roman" w:cs="Times New Roman"/>
          <w:color w:val="0D0D0D" w:themeColor="text1" w:themeTint="F2"/>
          <w:sz w:val="24"/>
          <w:szCs w:val="24"/>
        </w:rPr>
        <w:t>)</w:t>
      </w:r>
      <w:r w:rsidR="00642ED1" w:rsidRPr="00842FE5">
        <w:rPr>
          <w:rFonts w:ascii="Times New Roman" w:hAnsi="Times New Roman" w:cs="Times New Roman"/>
          <w:color w:val="0D0D0D" w:themeColor="text1" w:themeTint="F2"/>
          <w:sz w:val="24"/>
          <w:szCs w:val="24"/>
        </w:rPr>
        <w:t xml:space="preserve"> and </w:t>
      </w:r>
      <w:r w:rsidR="00DD4219" w:rsidRPr="00842FE5">
        <w:rPr>
          <w:rFonts w:ascii="Times New Roman" w:hAnsi="Times New Roman" w:cs="Times New Roman"/>
          <w:color w:val="0D0D0D" w:themeColor="text1" w:themeTint="F2"/>
          <w:sz w:val="24"/>
          <w:szCs w:val="24"/>
        </w:rPr>
        <w:t>a</w:t>
      </w:r>
      <w:r w:rsidR="00642ED1" w:rsidRPr="00842FE5">
        <w:rPr>
          <w:rFonts w:ascii="Times New Roman" w:hAnsi="Times New Roman" w:cs="Times New Roman"/>
          <w:color w:val="0D0D0D" w:themeColor="text1" w:themeTint="F2"/>
          <w:sz w:val="24"/>
          <w:szCs w:val="24"/>
        </w:rPr>
        <w:t xml:space="preserve">t Week 26 </w:t>
      </w:r>
      <w:r w:rsidR="0073254D" w:rsidRPr="00842FE5">
        <w:rPr>
          <w:rFonts w:ascii="Times New Roman" w:hAnsi="Times New Roman" w:cs="Times New Roman"/>
          <w:color w:val="0D0D0D" w:themeColor="text1" w:themeTint="F2"/>
          <w:sz w:val="24"/>
          <w:szCs w:val="24"/>
        </w:rPr>
        <w:t>(</w:t>
      </w:r>
      <w:r w:rsidR="00B60F32" w:rsidRPr="00842FE5">
        <w:rPr>
          <w:rFonts w:ascii="Times New Roman" w:hAnsi="Times New Roman" w:cs="Times New Roman"/>
          <w:color w:val="0D0D0D" w:themeColor="text1" w:themeTint="F2"/>
          <w:sz w:val="24"/>
          <w:szCs w:val="24"/>
        </w:rPr>
        <w:t>−</w:t>
      </w:r>
      <w:r w:rsidR="00642ED1" w:rsidRPr="00842FE5">
        <w:rPr>
          <w:rFonts w:ascii="Times New Roman" w:hAnsi="Times New Roman" w:cs="Times New Roman"/>
          <w:color w:val="0D0D0D" w:themeColor="text1" w:themeTint="F2"/>
          <w:sz w:val="24"/>
          <w:szCs w:val="24"/>
        </w:rPr>
        <w:t>36.03</w:t>
      </w:r>
      <w:r w:rsidR="00D61798" w:rsidRPr="00842FE5">
        <w:rPr>
          <w:rFonts w:ascii="Times New Roman" w:hAnsi="Times New Roman" w:cs="Times New Roman"/>
          <w:color w:val="0D0D0D" w:themeColor="text1" w:themeTint="F2"/>
          <w:sz w:val="24"/>
          <w:szCs w:val="24"/>
        </w:rPr>
        <w:t xml:space="preserve"> [−39.54, −</w:t>
      </w:r>
      <w:r w:rsidR="006F277D" w:rsidRPr="00842FE5">
        <w:rPr>
          <w:rFonts w:ascii="Times New Roman" w:hAnsi="Times New Roman" w:cs="Times New Roman"/>
          <w:color w:val="0D0D0D" w:themeColor="text1" w:themeTint="F2"/>
          <w:sz w:val="24"/>
          <w:szCs w:val="24"/>
        </w:rPr>
        <w:t>32.52</w:t>
      </w:r>
      <w:r w:rsidR="00D61798" w:rsidRPr="00842FE5">
        <w:rPr>
          <w:rFonts w:ascii="Times New Roman" w:hAnsi="Times New Roman" w:cs="Times New Roman"/>
          <w:color w:val="0D0D0D" w:themeColor="text1" w:themeTint="F2"/>
          <w:sz w:val="24"/>
          <w:szCs w:val="24"/>
        </w:rPr>
        <w:t>]</w:t>
      </w:r>
      <w:r w:rsidR="00642ED1" w:rsidRPr="00842FE5">
        <w:rPr>
          <w:rFonts w:ascii="Times New Roman" w:hAnsi="Times New Roman" w:cs="Times New Roman"/>
          <w:color w:val="0D0D0D" w:themeColor="text1" w:themeTint="F2"/>
          <w:sz w:val="24"/>
          <w:szCs w:val="24"/>
        </w:rPr>
        <w:t xml:space="preserve"> mg/dL</w:t>
      </w:r>
      <w:r w:rsidR="0073254D" w:rsidRPr="00842FE5">
        <w:rPr>
          <w:rFonts w:ascii="Times New Roman" w:hAnsi="Times New Roman" w:cs="Times New Roman"/>
          <w:color w:val="0D0D0D" w:themeColor="text1" w:themeTint="F2"/>
          <w:sz w:val="24"/>
          <w:szCs w:val="24"/>
        </w:rPr>
        <w:t>)</w:t>
      </w:r>
      <w:r w:rsidR="00B60F32" w:rsidRPr="00842FE5">
        <w:rPr>
          <w:rFonts w:ascii="Times New Roman" w:hAnsi="Times New Roman" w:cs="Times New Roman"/>
          <w:color w:val="0D0D0D" w:themeColor="text1" w:themeTint="F2"/>
          <w:sz w:val="24"/>
          <w:szCs w:val="24"/>
        </w:rPr>
        <w:t xml:space="preserve">. </w:t>
      </w:r>
      <w:r w:rsidR="00904E5C" w:rsidRPr="00842FE5">
        <w:rPr>
          <w:rFonts w:ascii="Times New Roman" w:hAnsi="Times New Roman" w:cs="Times New Roman"/>
          <w:color w:val="0D0D0D" w:themeColor="text1" w:themeTint="F2"/>
          <w:sz w:val="24"/>
          <w:szCs w:val="24"/>
        </w:rPr>
        <w:t xml:space="preserve">The fasting SMPG target of 80 to 110 mg/dL (4.4 to 6.1 mmol/L) was achieved in 127 (34.1%) participants at Week 12 and </w:t>
      </w:r>
      <w:r w:rsidR="0089778A" w:rsidRPr="00842FE5">
        <w:rPr>
          <w:rFonts w:ascii="Times New Roman" w:hAnsi="Times New Roman" w:cs="Times New Roman"/>
          <w:color w:val="0D0D0D" w:themeColor="text1" w:themeTint="F2"/>
          <w:sz w:val="24"/>
          <w:szCs w:val="24"/>
        </w:rPr>
        <w:t>in</w:t>
      </w:r>
      <w:r w:rsidR="0011654B" w:rsidRPr="00842FE5">
        <w:rPr>
          <w:rFonts w:ascii="Times New Roman" w:hAnsi="Times New Roman" w:cs="Times New Roman"/>
          <w:color w:val="0D0D0D" w:themeColor="text1" w:themeTint="F2"/>
          <w:sz w:val="24"/>
          <w:szCs w:val="24"/>
        </w:rPr>
        <w:t xml:space="preserve"> </w:t>
      </w:r>
      <w:r w:rsidR="00904E5C" w:rsidRPr="00842FE5">
        <w:rPr>
          <w:rFonts w:ascii="Times New Roman" w:hAnsi="Times New Roman" w:cs="Times New Roman"/>
          <w:color w:val="0D0D0D" w:themeColor="text1" w:themeTint="F2"/>
          <w:sz w:val="24"/>
          <w:szCs w:val="24"/>
        </w:rPr>
        <w:t>136 (36.6%) participants at Week 26</w:t>
      </w:r>
      <w:r w:rsidR="0066632B" w:rsidRPr="00842FE5">
        <w:rPr>
          <w:rFonts w:ascii="Times New Roman" w:hAnsi="Times New Roman" w:cs="Times New Roman"/>
          <w:color w:val="0D0D0D" w:themeColor="text1" w:themeTint="F2"/>
          <w:sz w:val="24"/>
          <w:szCs w:val="24"/>
        </w:rPr>
        <w:t>.</w:t>
      </w:r>
    </w:p>
    <w:p w14:paraId="0E03F263" w14:textId="22A053AE" w:rsidR="00A23C88" w:rsidRPr="00842FE5" w:rsidRDefault="00A23C88" w:rsidP="00BE739C">
      <w:pPr>
        <w:spacing w:line="480" w:lineRule="auto"/>
        <w:rPr>
          <w:rFonts w:ascii="Times New Roman" w:hAnsi="Times New Roman" w:cs="Times New Roman"/>
          <w:i/>
          <w:iCs/>
          <w:color w:val="0D0D0D" w:themeColor="text1" w:themeTint="F2"/>
          <w:sz w:val="24"/>
          <w:szCs w:val="24"/>
        </w:rPr>
      </w:pPr>
      <w:r w:rsidRPr="00842FE5">
        <w:rPr>
          <w:rFonts w:ascii="Times New Roman" w:hAnsi="Times New Roman" w:cs="Times New Roman"/>
          <w:i/>
          <w:iCs/>
          <w:color w:val="0D0D0D" w:themeColor="text1" w:themeTint="F2"/>
          <w:sz w:val="24"/>
          <w:szCs w:val="24"/>
        </w:rPr>
        <w:t xml:space="preserve">7-Point </w:t>
      </w:r>
      <w:r w:rsidR="00211F0E" w:rsidRPr="00842FE5">
        <w:rPr>
          <w:rFonts w:ascii="Times New Roman" w:hAnsi="Times New Roman" w:cs="Times New Roman"/>
          <w:i/>
          <w:iCs/>
          <w:color w:val="0D0D0D" w:themeColor="text1" w:themeTint="F2"/>
          <w:sz w:val="24"/>
          <w:szCs w:val="24"/>
        </w:rPr>
        <w:t>s</w:t>
      </w:r>
      <w:r w:rsidRPr="00842FE5">
        <w:rPr>
          <w:rFonts w:ascii="Times New Roman" w:hAnsi="Times New Roman" w:cs="Times New Roman"/>
          <w:i/>
          <w:iCs/>
          <w:color w:val="0D0D0D" w:themeColor="text1" w:themeTint="F2"/>
          <w:sz w:val="24"/>
          <w:szCs w:val="24"/>
        </w:rPr>
        <w:t>elf-</w:t>
      </w:r>
      <w:r w:rsidR="00211F0E" w:rsidRPr="00842FE5">
        <w:rPr>
          <w:rFonts w:ascii="Times New Roman" w:hAnsi="Times New Roman" w:cs="Times New Roman"/>
          <w:i/>
          <w:iCs/>
          <w:color w:val="0D0D0D" w:themeColor="text1" w:themeTint="F2"/>
          <w:sz w:val="24"/>
          <w:szCs w:val="24"/>
        </w:rPr>
        <w:t>m</w:t>
      </w:r>
      <w:r w:rsidRPr="00842FE5">
        <w:rPr>
          <w:rFonts w:ascii="Times New Roman" w:hAnsi="Times New Roman" w:cs="Times New Roman"/>
          <w:i/>
          <w:iCs/>
          <w:color w:val="0D0D0D" w:themeColor="text1" w:themeTint="F2"/>
          <w:sz w:val="24"/>
          <w:szCs w:val="24"/>
        </w:rPr>
        <w:t>onitor</w:t>
      </w:r>
      <w:r w:rsidR="00211F0E" w:rsidRPr="00842FE5">
        <w:rPr>
          <w:rFonts w:ascii="Times New Roman" w:hAnsi="Times New Roman" w:cs="Times New Roman"/>
          <w:i/>
          <w:iCs/>
          <w:color w:val="0D0D0D" w:themeColor="text1" w:themeTint="F2"/>
          <w:sz w:val="24"/>
          <w:szCs w:val="24"/>
        </w:rPr>
        <w:t>ed</w:t>
      </w:r>
      <w:r w:rsidRPr="00842FE5">
        <w:rPr>
          <w:rFonts w:ascii="Times New Roman" w:hAnsi="Times New Roman" w:cs="Times New Roman"/>
          <w:i/>
          <w:iCs/>
          <w:color w:val="0D0D0D" w:themeColor="text1" w:themeTint="F2"/>
          <w:sz w:val="24"/>
          <w:szCs w:val="24"/>
        </w:rPr>
        <w:t xml:space="preserve"> </w:t>
      </w:r>
      <w:r w:rsidR="00211F0E" w:rsidRPr="00842FE5">
        <w:rPr>
          <w:rFonts w:ascii="Times New Roman" w:hAnsi="Times New Roman" w:cs="Times New Roman"/>
          <w:i/>
          <w:iCs/>
          <w:color w:val="0D0D0D" w:themeColor="text1" w:themeTint="F2"/>
          <w:sz w:val="24"/>
          <w:szCs w:val="24"/>
        </w:rPr>
        <w:t>p</w:t>
      </w:r>
      <w:r w:rsidRPr="00842FE5">
        <w:rPr>
          <w:rFonts w:ascii="Times New Roman" w:hAnsi="Times New Roman" w:cs="Times New Roman"/>
          <w:i/>
          <w:iCs/>
          <w:color w:val="0D0D0D" w:themeColor="text1" w:themeTint="F2"/>
          <w:sz w:val="24"/>
          <w:szCs w:val="24"/>
        </w:rPr>
        <w:t xml:space="preserve">lasma </w:t>
      </w:r>
      <w:r w:rsidR="00211F0E" w:rsidRPr="00842FE5">
        <w:rPr>
          <w:rFonts w:ascii="Times New Roman" w:hAnsi="Times New Roman" w:cs="Times New Roman"/>
          <w:i/>
          <w:iCs/>
          <w:color w:val="0D0D0D" w:themeColor="text1" w:themeTint="F2"/>
          <w:sz w:val="24"/>
          <w:szCs w:val="24"/>
        </w:rPr>
        <w:t>g</w:t>
      </w:r>
      <w:r w:rsidRPr="00842FE5">
        <w:rPr>
          <w:rFonts w:ascii="Times New Roman" w:hAnsi="Times New Roman" w:cs="Times New Roman"/>
          <w:i/>
          <w:iCs/>
          <w:color w:val="0D0D0D" w:themeColor="text1" w:themeTint="F2"/>
          <w:sz w:val="24"/>
          <w:szCs w:val="24"/>
        </w:rPr>
        <w:t>lucose</w:t>
      </w:r>
      <w:r w:rsidR="00211F0E" w:rsidRPr="00842FE5">
        <w:rPr>
          <w:rFonts w:ascii="Times New Roman" w:hAnsi="Times New Roman" w:cs="Times New Roman"/>
          <w:i/>
          <w:iCs/>
          <w:color w:val="0D0D0D" w:themeColor="text1" w:themeTint="F2"/>
          <w:sz w:val="24"/>
          <w:szCs w:val="24"/>
        </w:rPr>
        <w:t xml:space="preserve"> and rescue therapy</w:t>
      </w:r>
    </w:p>
    <w:p w14:paraId="2DC3CFD5" w14:textId="4A55A328" w:rsidR="008056CA" w:rsidRPr="00842FE5" w:rsidRDefault="0084219C" w:rsidP="009C0DE3">
      <w:pPr>
        <w:spacing w:line="480" w:lineRule="auto"/>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Reduction</w:t>
      </w:r>
      <w:r w:rsidR="00327C08" w:rsidRPr="00842FE5">
        <w:rPr>
          <w:rFonts w:ascii="Times New Roman" w:hAnsi="Times New Roman" w:cs="Times New Roman"/>
          <w:color w:val="0D0D0D" w:themeColor="text1" w:themeTint="F2"/>
          <w:sz w:val="24"/>
          <w:szCs w:val="24"/>
        </w:rPr>
        <w:t>s</w:t>
      </w:r>
      <w:r w:rsidRPr="00842FE5">
        <w:rPr>
          <w:rFonts w:ascii="Times New Roman" w:hAnsi="Times New Roman" w:cs="Times New Roman"/>
          <w:color w:val="0D0D0D" w:themeColor="text1" w:themeTint="F2"/>
          <w:sz w:val="24"/>
          <w:szCs w:val="24"/>
        </w:rPr>
        <w:t xml:space="preserve"> </w:t>
      </w:r>
      <w:r w:rsidR="00327C08" w:rsidRPr="00842FE5">
        <w:rPr>
          <w:rFonts w:ascii="Times New Roman" w:hAnsi="Times New Roman" w:cs="Times New Roman"/>
          <w:color w:val="0D0D0D" w:themeColor="text1" w:themeTint="F2"/>
          <w:sz w:val="24"/>
          <w:szCs w:val="24"/>
        </w:rPr>
        <w:t xml:space="preserve">from baseline </w:t>
      </w:r>
      <w:r w:rsidRPr="00842FE5">
        <w:rPr>
          <w:rFonts w:ascii="Times New Roman" w:hAnsi="Times New Roman" w:cs="Times New Roman"/>
          <w:color w:val="0D0D0D" w:themeColor="text1" w:themeTint="F2"/>
          <w:sz w:val="24"/>
          <w:szCs w:val="24"/>
        </w:rPr>
        <w:t xml:space="preserve">in 7-point SMPG </w:t>
      </w:r>
      <w:r w:rsidR="003C1B6C" w:rsidRPr="00842FE5">
        <w:rPr>
          <w:rFonts w:ascii="Times New Roman" w:hAnsi="Times New Roman" w:cs="Times New Roman"/>
          <w:color w:val="0D0D0D" w:themeColor="text1" w:themeTint="F2"/>
          <w:sz w:val="24"/>
          <w:szCs w:val="24"/>
        </w:rPr>
        <w:t>were</w:t>
      </w:r>
      <w:r w:rsidR="00E21722" w:rsidRPr="00842FE5">
        <w:rPr>
          <w:rFonts w:ascii="Times New Roman" w:hAnsi="Times New Roman" w:cs="Times New Roman"/>
          <w:color w:val="0D0D0D" w:themeColor="text1" w:themeTint="F2"/>
          <w:sz w:val="24"/>
          <w:szCs w:val="24"/>
        </w:rPr>
        <w:t xml:space="preserve"> </w:t>
      </w:r>
      <w:r w:rsidR="00316F6F" w:rsidRPr="00842FE5">
        <w:rPr>
          <w:rFonts w:ascii="Times New Roman" w:hAnsi="Times New Roman" w:cs="Times New Roman"/>
          <w:color w:val="0D0D0D" w:themeColor="text1" w:themeTint="F2"/>
          <w:sz w:val="24"/>
          <w:szCs w:val="24"/>
        </w:rPr>
        <w:t xml:space="preserve">observed </w:t>
      </w:r>
      <w:r w:rsidR="00716296" w:rsidRPr="00842FE5">
        <w:rPr>
          <w:rFonts w:ascii="Times New Roman" w:hAnsi="Times New Roman" w:cs="Times New Roman"/>
          <w:color w:val="0D0D0D" w:themeColor="text1" w:themeTint="F2"/>
          <w:sz w:val="24"/>
          <w:szCs w:val="24"/>
        </w:rPr>
        <w:t xml:space="preserve">at </w:t>
      </w:r>
      <w:r w:rsidR="00E21722" w:rsidRPr="00842FE5">
        <w:rPr>
          <w:rFonts w:ascii="Times New Roman" w:hAnsi="Times New Roman" w:cs="Times New Roman"/>
          <w:color w:val="0D0D0D" w:themeColor="text1" w:themeTint="F2"/>
          <w:sz w:val="24"/>
          <w:szCs w:val="24"/>
        </w:rPr>
        <w:t>pre-breakfast, 2 h</w:t>
      </w:r>
      <w:r w:rsidR="00BE739C" w:rsidRPr="00842FE5">
        <w:rPr>
          <w:rFonts w:ascii="Times New Roman" w:hAnsi="Times New Roman" w:cs="Times New Roman"/>
          <w:color w:val="0D0D0D" w:themeColor="text1" w:themeTint="F2"/>
          <w:sz w:val="24"/>
          <w:szCs w:val="24"/>
        </w:rPr>
        <w:t xml:space="preserve"> </w:t>
      </w:r>
      <w:r w:rsidR="00E21722" w:rsidRPr="00842FE5">
        <w:rPr>
          <w:rFonts w:ascii="Times New Roman" w:hAnsi="Times New Roman" w:cs="Times New Roman"/>
          <w:color w:val="0D0D0D" w:themeColor="text1" w:themeTint="F2"/>
          <w:sz w:val="24"/>
          <w:szCs w:val="24"/>
        </w:rPr>
        <w:t>post-breakfast and at bedtime</w:t>
      </w:r>
      <w:r w:rsidR="00327C08" w:rsidRPr="00842FE5">
        <w:rPr>
          <w:rFonts w:ascii="Times New Roman" w:hAnsi="Times New Roman" w:cs="Times New Roman"/>
          <w:color w:val="0D0D0D" w:themeColor="text1" w:themeTint="F2"/>
          <w:sz w:val="24"/>
          <w:szCs w:val="24"/>
        </w:rPr>
        <w:t xml:space="preserve"> over </w:t>
      </w:r>
      <w:r w:rsidR="00211F0E" w:rsidRPr="00842FE5">
        <w:rPr>
          <w:rFonts w:ascii="Times New Roman" w:hAnsi="Times New Roman" w:cs="Times New Roman"/>
          <w:color w:val="0D0D0D" w:themeColor="text1" w:themeTint="F2"/>
          <w:sz w:val="24"/>
          <w:szCs w:val="24"/>
        </w:rPr>
        <w:t>26 weeks</w:t>
      </w:r>
      <w:r w:rsidR="00BE739C" w:rsidRPr="00842FE5">
        <w:rPr>
          <w:rFonts w:ascii="Times New Roman" w:hAnsi="Times New Roman" w:cs="Times New Roman"/>
          <w:color w:val="0D0D0D" w:themeColor="text1" w:themeTint="F2"/>
          <w:sz w:val="24"/>
          <w:szCs w:val="24"/>
        </w:rPr>
        <w:t>. The improvement in 7-point SMPG at Week 12 was consistent with the improvement at Week 26, in-line with the expectation that full dose titration would be reached by 12 weeks</w:t>
      </w:r>
      <w:r w:rsidR="00802459" w:rsidRPr="00842FE5">
        <w:rPr>
          <w:rFonts w:ascii="Times New Roman" w:hAnsi="Times New Roman" w:cs="Times New Roman"/>
          <w:color w:val="0D0D0D" w:themeColor="text1" w:themeTint="F2"/>
          <w:sz w:val="24"/>
          <w:szCs w:val="24"/>
        </w:rPr>
        <w:t xml:space="preserve"> (</w:t>
      </w:r>
      <w:r w:rsidR="00802459" w:rsidRPr="00842FE5">
        <w:rPr>
          <w:rFonts w:ascii="Times New Roman" w:hAnsi="Times New Roman" w:cs="Times New Roman"/>
          <w:b/>
          <w:bCs/>
          <w:color w:val="0D0D0D" w:themeColor="text1" w:themeTint="F2"/>
          <w:sz w:val="24"/>
          <w:szCs w:val="24"/>
        </w:rPr>
        <w:t xml:space="preserve">Figure </w:t>
      </w:r>
      <w:r w:rsidR="00BE1237" w:rsidRPr="00842FE5">
        <w:rPr>
          <w:rFonts w:ascii="Times New Roman" w:hAnsi="Times New Roman" w:cs="Times New Roman"/>
          <w:b/>
          <w:bCs/>
          <w:color w:val="0D0D0D" w:themeColor="text1" w:themeTint="F2"/>
          <w:sz w:val="24"/>
          <w:szCs w:val="24"/>
        </w:rPr>
        <w:t>2C</w:t>
      </w:r>
      <w:r w:rsidR="00802459" w:rsidRPr="00842FE5">
        <w:rPr>
          <w:rFonts w:ascii="Times New Roman" w:hAnsi="Times New Roman" w:cs="Times New Roman"/>
          <w:color w:val="0D0D0D" w:themeColor="text1" w:themeTint="F2"/>
          <w:sz w:val="24"/>
          <w:szCs w:val="24"/>
        </w:rPr>
        <w:t>)</w:t>
      </w:r>
      <w:r w:rsidR="00C92BAC" w:rsidRPr="00842FE5">
        <w:rPr>
          <w:rFonts w:ascii="Times New Roman" w:hAnsi="Times New Roman" w:cs="Times New Roman"/>
          <w:color w:val="0D0D0D" w:themeColor="text1" w:themeTint="F2"/>
          <w:sz w:val="24"/>
          <w:szCs w:val="24"/>
        </w:rPr>
        <w:t xml:space="preserve">. </w:t>
      </w:r>
      <w:r w:rsidR="009C0DE3" w:rsidRPr="00842FE5">
        <w:rPr>
          <w:rFonts w:ascii="Times New Roman" w:hAnsi="Times New Roman" w:cs="Times New Roman"/>
          <w:color w:val="0D0D0D" w:themeColor="text1" w:themeTint="F2"/>
          <w:sz w:val="24"/>
          <w:szCs w:val="24"/>
        </w:rPr>
        <w:t>No</w:t>
      </w:r>
      <w:r w:rsidR="007D171C" w:rsidRPr="00842FE5">
        <w:rPr>
          <w:rFonts w:ascii="Times New Roman" w:hAnsi="Times New Roman" w:cs="Times New Roman"/>
          <w:color w:val="0D0D0D" w:themeColor="text1" w:themeTint="F2"/>
          <w:sz w:val="24"/>
          <w:szCs w:val="24"/>
        </w:rPr>
        <w:t xml:space="preserve">ne of the </w:t>
      </w:r>
      <w:r w:rsidR="0070448B" w:rsidRPr="00842FE5">
        <w:rPr>
          <w:rFonts w:ascii="Times New Roman" w:hAnsi="Times New Roman" w:cs="Times New Roman"/>
          <w:color w:val="0D0D0D" w:themeColor="text1" w:themeTint="F2"/>
          <w:sz w:val="24"/>
          <w:szCs w:val="24"/>
        </w:rPr>
        <w:t xml:space="preserve">eligible </w:t>
      </w:r>
      <w:r w:rsidR="009C0DE3" w:rsidRPr="00842FE5">
        <w:rPr>
          <w:rFonts w:ascii="Times New Roman" w:hAnsi="Times New Roman" w:cs="Times New Roman"/>
          <w:color w:val="0D0D0D" w:themeColor="text1" w:themeTint="F2"/>
          <w:sz w:val="24"/>
          <w:szCs w:val="24"/>
        </w:rPr>
        <w:t>pa</w:t>
      </w:r>
      <w:r w:rsidR="007D171C" w:rsidRPr="00842FE5">
        <w:rPr>
          <w:rFonts w:ascii="Times New Roman" w:hAnsi="Times New Roman" w:cs="Times New Roman"/>
          <w:color w:val="0D0D0D" w:themeColor="text1" w:themeTint="F2"/>
          <w:sz w:val="24"/>
          <w:szCs w:val="24"/>
        </w:rPr>
        <w:t xml:space="preserve">rticipants </w:t>
      </w:r>
      <w:r w:rsidR="009C0DE3" w:rsidRPr="00842FE5">
        <w:rPr>
          <w:rFonts w:ascii="Times New Roman" w:hAnsi="Times New Roman" w:cs="Times New Roman"/>
          <w:color w:val="0D0D0D" w:themeColor="text1" w:themeTint="F2"/>
          <w:sz w:val="24"/>
          <w:szCs w:val="24"/>
        </w:rPr>
        <w:t>required rescue therapy between Week</w:t>
      </w:r>
      <w:r w:rsidR="00F159BF" w:rsidRPr="00842FE5">
        <w:rPr>
          <w:rFonts w:ascii="Times New Roman" w:hAnsi="Times New Roman" w:cs="Times New Roman"/>
          <w:color w:val="0D0D0D" w:themeColor="text1" w:themeTint="F2"/>
          <w:sz w:val="24"/>
          <w:szCs w:val="24"/>
        </w:rPr>
        <w:t>s</w:t>
      </w:r>
      <w:r w:rsidR="009C0DE3" w:rsidRPr="00842FE5">
        <w:rPr>
          <w:rFonts w:ascii="Times New Roman" w:hAnsi="Times New Roman" w:cs="Times New Roman"/>
          <w:color w:val="0D0D0D" w:themeColor="text1" w:themeTint="F2"/>
          <w:sz w:val="24"/>
          <w:szCs w:val="24"/>
        </w:rPr>
        <w:t xml:space="preserve"> 12 and 26.</w:t>
      </w:r>
      <w:r w:rsidR="003C3CB0" w:rsidRPr="00842FE5">
        <w:rPr>
          <w:rFonts w:ascii="Times New Roman" w:hAnsi="Times New Roman" w:cs="Times New Roman"/>
          <w:color w:val="0D0D0D" w:themeColor="text1" w:themeTint="F2"/>
          <w:sz w:val="24"/>
          <w:szCs w:val="24"/>
        </w:rPr>
        <w:t xml:space="preserve"> </w:t>
      </w:r>
    </w:p>
    <w:p w14:paraId="7DC22549" w14:textId="163B5FC6" w:rsidR="002F7376" w:rsidRPr="00842FE5" w:rsidRDefault="002F7376" w:rsidP="003858C4">
      <w:pPr>
        <w:pStyle w:val="ListParagraph"/>
        <w:spacing w:line="480" w:lineRule="auto"/>
        <w:ind w:left="142" w:hanging="142"/>
        <w:rPr>
          <w:rFonts w:ascii="Times New Roman" w:hAnsi="Times New Roman" w:cs="Times New Roman"/>
          <w:b/>
          <w:bCs/>
          <w:i/>
          <w:iCs/>
          <w:color w:val="0D0D0D" w:themeColor="text1" w:themeTint="F2"/>
          <w:sz w:val="24"/>
          <w:szCs w:val="24"/>
        </w:rPr>
      </w:pPr>
      <w:r w:rsidRPr="00842FE5">
        <w:rPr>
          <w:rFonts w:ascii="Times New Roman" w:hAnsi="Times New Roman" w:cs="Times New Roman"/>
          <w:b/>
          <w:bCs/>
          <w:i/>
          <w:iCs/>
          <w:color w:val="0D0D0D" w:themeColor="text1" w:themeTint="F2"/>
          <w:sz w:val="24"/>
          <w:szCs w:val="24"/>
        </w:rPr>
        <w:t>Insulin dose</w:t>
      </w:r>
    </w:p>
    <w:p w14:paraId="55D6A101" w14:textId="09A3A2FA" w:rsidR="00A46154" w:rsidRPr="00842FE5" w:rsidRDefault="00386C12" w:rsidP="003858C4">
      <w:pPr>
        <w:spacing w:line="480" w:lineRule="auto"/>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 xml:space="preserve">The </w:t>
      </w:r>
      <w:r w:rsidR="000E6098" w:rsidRPr="00842FE5">
        <w:rPr>
          <w:rFonts w:ascii="Times New Roman" w:hAnsi="Times New Roman" w:cs="Times New Roman"/>
          <w:color w:val="0D0D0D" w:themeColor="text1" w:themeTint="F2"/>
          <w:sz w:val="24"/>
          <w:szCs w:val="24"/>
        </w:rPr>
        <w:t xml:space="preserve">mean </w:t>
      </w:r>
      <w:r w:rsidR="00131AEB" w:rsidRPr="00842FE5">
        <w:rPr>
          <w:rFonts w:ascii="Times New Roman" w:hAnsi="Times New Roman" w:cs="Times New Roman"/>
          <w:color w:val="0D0D0D" w:themeColor="text1" w:themeTint="F2"/>
          <w:sz w:val="24"/>
          <w:szCs w:val="24"/>
        </w:rPr>
        <w:t xml:space="preserve">total daily </w:t>
      </w:r>
      <w:r w:rsidR="001B18C3" w:rsidRPr="00842FE5">
        <w:rPr>
          <w:rFonts w:ascii="Times New Roman" w:hAnsi="Times New Roman" w:cs="Times New Roman"/>
          <w:color w:val="0D0D0D" w:themeColor="text1" w:themeTint="F2"/>
          <w:sz w:val="24"/>
          <w:szCs w:val="24"/>
        </w:rPr>
        <w:t>BI</w:t>
      </w:r>
      <w:r w:rsidRPr="00842FE5">
        <w:rPr>
          <w:rFonts w:ascii="Times New Roman" w:hAnsi="Times New Roman" w:cs="Times New Roman"/>
          <w:color w:val="0D0D0D" w:themeColor="text1" w:themeTint="F2"/>
          <w:sz w:val="24"/>
          <w:szCs w:val="24"/>
        </w:rPr>
        <w:t xml:space="preserve"> dose </w:t>
      </w:r>
      <w:r w:rsidR="00F159BF" w:rsidRPr="00842FE5">
        <w:rPr>
          <w:rFonts w:ascii="Times New Roman" w:hAnsi="Times New Roman" w:cs="Times New Roman"/>
          <w:color w:val="0D0D0D" w:themeColor="text1" w:themeTint="F2"/>
          <w:sz w:val="24"/>
          <w:szCs w:val="24"/>
        </w:rPr>
        <w:t xml:space="preserve">was </w:t>
      </w:r>
      <w:r w:rsidRPr="00842FE5">
        <w:rPr>
          <w:rFonts w:ascii="Times New Roman" w:hAnsi="Times New Roman" w:cs="Times New Roman"/>
          <w:color w:val="0D0D0D" w:themeColor="text1" w:themeTint="F2"/>
          <w:sz w:val="24"/>
          <w:szCs w:val="24"/>
        </w:rPr>
        <w:t>increased from 27</w:t>
      </w:r>
      <w:r w:rsidR="003E3528">
        <w:rPr>
          <w:rFonts w:ascii="Times New Roman" w:hAnsi="Times New Roman" w:cs="Times New Roman"/>
          <w:color w:val="0D0D0D" w:themeColor="text1" w:themeTint="F2"/>
          <w:sz w:val="24"/>
          <w:szCs w:val="24"/>
        </w:rPr>
        <w:t>.</w:t>
      </w:r>
      <w:r w:rsidR="008378C6">
        <w:rPr>
          <w:rFonts w:ascii="Times New Roman" w:hAnsi="Times New Roman" w:cs="Times New Roman"/>
          <w:color w:val="0D0D0D" w:themeColor="text1" w:themeTint="F2"/>
          <w:sz w:val="24"/>
          <w:szCs w:val="24"/>
        </w:rPr>
        <w:t>4</w:t>
      </w:r>
      <w:r w:rsidR="003E3528">
        <w:rPr>
          <w:rFonts w:ascii="Times New Roman" w:hAnsi="Times New Roman" w:cs="Times New Roman"/>
          <w:color w:val="0D0D0D" w:themeColor="text1" w:themeTint="F2"/>
          <w:sz w:val="24"/>
          <w:szCs w:val="24"/>
        </w:rPr>
        <w:t>8</w:t>
      </w:r>
      <w:r w:rsidRPr="00842FE5">
        <w:rPr>
          <w:rFonts w:ascii="Times New Roman" w:hAnsi="Times New Roman" w:cs="Times New Roman"/>
          <w:color w:val="0D0D0D" w:themeColor="text1" w:themeTint="F2"/>
          <w:sz w:val="24"/>
          <w:szCs w:val="24"/>
        </w:rPr>
        <w:t xml:space="preserve"> </w:t>
      </w:r>
      <w:r w:rsidR="00211F0E" w:rsidRPr="00842FE5">
        <w:rPr>
          <w:rFonts w:ascii="Times New Roman" w:hAnsi="Times New Roman" w:cs="Times New Roman"/>
          <w:color w:val="0D0D0D" w:themeColor="text1" w:themeTint="F2"/>
          <w:sz w:val="24"/>
          <w:szCs w:val="24"/>
        </w:rPr>
        <w:t xml:space="preserve">U </w:t>
      </w:r>
      <w:r w:rsidRPr="00842FE5">
        <w:rPr>
          <w:rFonts w:ascii="Times New Roman" w:hAnsi="Times New Roman" w:cs="Times New Roman"/>
          <w:color w:val="0D0D0D" w:themeColor="text1" w:themeTint="F2"/>
          <w:sz w:val="24"/>
          <w:szCs w:val="24"/>
        </w:rPr>
        <w:t xml:space="preserve">at baseline to </w:t>
      </w:r>
      <w:r w:rsidR="0077039D" w:rsidRPr="00842FE5">
        <w:rPr>
          <w:rFonts w:ascii="Times New Roman" w:hAnsi="Times New Roman" w:cs="Times New Roman"/>
          <w:color w:val="0D0D0D" w:themeColor="text1" w:themeTint="F2"/>
          <w:sz w:val="24"/>
          <w:szCs w:val="24"/>
        </w:rPr>
        <w:t>3</w:t>
      </w:r>
      <w:r w:rsidR="00014821">
        <w:rPr>
          <w:rFonts w:ascii="Times New Roman" w:hAnsi="Times New Roman" w:cs="Times New Roman"/>
          <w:color w:val="0D0D0D" w:themeColor="text1" w:themeTint="F2"/>
          <w:sz w:val="24"/>
          <w:szCs w:val="24"/>
        </w:rPr>
        <w:t>6.</w:t>
      </w:r>
      <w:r w:rsidR="0077039D" w:rsidRPr="00842FE5">
        <w:rPr>
          <w:rFonts w:ascii="Times New Roman" w:hAnsi="Times New Roman" w:cs="Times New Roman"/>
          <w:color w:val="0D0D0D" w:themeColor="text1" w:themeTint="F2"/>
          <w:sz w:val="24"/>
          <w:szCs w:val="24"/>
        </w:rPr>
        <w:t>7</w:t>
      </w:r>
      <w:r w:rsidR="00291190">
        <w:rPr>
          <w:rFonts w:ascii="Times New Roman" w:hAnsi="Times New Roman" w:cs="Times New Roman"/>
          <w:color w:val="0D0D0D" w:themeColor="text1" w:themeTint="F2"/>
          <w:sz w:val="24"/>
          <w:szCs w:val="24"/>
        </w:rPr>
        <w:t>1</w:t>
      </w:r>
      <w:r w:rsidR="0077039D" w:rsidRPr="00842FE5">
        <w:rPr>
          <w:rFonts w:ascii="Times New Roman" w:hAnsi="Times New Roman" w:cs="Times New Roman"/>
          <w:color w:val="0D0D0D" w:themeColor="text1" w:themeTint="F2"/>
          <w:sz w:val="24"/>
          <w:szCs w:val="24"/>
        </w:rPr>
        <w:t xml:space="preserve"> </w:t>
      </w:r>
      <w:r w:rsidR="00211F0E" w:rsidRPr="00842FE5">
        <w:rPr>
          <w:rFonts w:ascii="Times New Roman" w:hAnsi="Times New Roman" w:cs="Times New Roman"/>
          <w:color w:val="0D0D0D" w:themeColor="text1" w:themeTint="F2"/>
          <w:sz w:val="24"/>
          <w:szCs w:val="24"/>
        </w:rPr>
        <w:t xml:space="preserve">U </w:t>
      </w:r>
      <w:r w:rsidRPr="00842FE5">
        <w:rPr>
          <w:rFonts w:ascii="Times New Roman" w:hAnsi="Times New Roman" w:cs="Times New Roman"/>
          <w:color w:val="0D0D0D" w:themeColor="text1" w:themeTint="F2"/>
          <w:sz w:val="24"/>
          <w:szCs w:val="24"/>
        </w:rPr>
        <w:t>at Week 12 and 39</w:t>
      </w:r>
      <w:r w:rsidR="00014821">
        <w:rPr>
          <w:rFonts w:ascii="Times New Roman" w:hAnsi="Times New Roman" w:cs="Times New Roman"/>
          <w:color w:val="0D0D0D" w:themeColor="text1" w:themeTint="F2"/>
          <w:sz w:val="24"/>
          <w:szCs w:val="24"/>
        </w:rPr>
        <w:t>.</w:t>
      </w:r>
      <w:r w:rsidR="00F95ED1" w:rsidRPr="00F95ED1">
        <w:rPr>
          <w:rFonts w:ascii="Times New Roman" w:hAnsi="Times New Roman" w:cs="Times New Roman"/>
          <w:color w:val="0D0D0D" w:themeColor="text1" w:themeTint="F2"/>
          <w:sz w:val="24"/>
          <w:szCs w:val="24"/>
        </w:rPr>
        <w:t>0</w:t>
      </w:r>
      <w:r w:rsidR="00291190">
        <w:rPr>
          <w:rFonts w:ascii="Times New Roman" w:hAnsi="Times New Roman" w:cs="Times New Roman"/>
          <w:color w:val="0D0D0D" w:themeColor="text1" w:themeTint="F2"/>
          <w:sz w:val="24"/>
          <w:szCs w:val="24"/>
        </w:rPr>
        <w:t>1</w:t>
      </w:r>
      <w:r w:rsidRPr="00842FE5">
        <w:rPr>
          <w:rFonts w:ascii="Times New Roman" w:hAnsi="Times New Roman" w:cs="Times New Roman"/>
          <w:color w:val="0D0D0D" w:themeColor="text1" w:themeTint="F2"/>
          <w:sz w:val="24"/>
          <w:szCs w:val="24"/>
        </w:rPr>
        <w:t xml:space="preserve"> </w:t>
      </w:r>
      <w:r w:rsidR="00211F0E" w:rsidRPr="00842FE5">
        <w:rPr>
          <w:rFonts w:ascii="Times New Roman" w:hAnsi="Times New Roman" w:cs="Times New Roman"/>
          <w:color w:val="0D0D0D" w:themeColor="text1" w:themeTint="F2"/>
          <w:sz w:val="24"/>
          <w:szCs w:val="24"/>
        </w:rPr>
        <w:t xml:space="preserve">U </w:t>
      </w:r>
      <w:r w:rsidRPr="00842FE5">
        <w:rPr>
          <w:rFonts w:ascii="Times New Roman" w:hAnsi="Times New Roman" w:cs="Times New Roman"/>
          <w:color w:val="0D0D0D" w:themeColor="text1" w:themeTint="F2"/>
          <w:sz w:val="24"/>
          <w:szCs w:val="24"/>
        </w:rPr>
        <w:t xml:space="preserve">at Week 26 with the recommended titration </w:t>
      </w:r>
      <w:r w:rsidR="00BF3785" w:rsidRPr="00842FE5">
        <w:rPr>
          <w:rFonts w:ascii="Times New Roman" w:hAnsi="Times New Roman" w:cs="Times New Roman"/>
          <w:color w:val="0D0D0D" w:themeColor="text1" w:themeTint="F2"/>
          <w:sz w:val="24"/>
          <w:szCs w:val="24"/>
        </w:rPr>
        <w:t>algorithm</w:t>
      </w:r>
      <w:r w:rsidR="006E7BFA" w:rsidRPr="00842FE5">
        <w:rPr>
          <w:rFonts w:ascii="Times New Roman" w:hAnsi="Times New Roman" w:cs="Times New Roman"/>
          <w:color w:val="0D0D0D" w:themeColor="text1" w:themeTint="F2"/>
          <w:sz w:val="24"/>
          <w:szCs w:val="24"/>
        </w:rPr>
        <w:t>.</w:t>
      </w:r>
      <w:r w:rsidRPr="00842FE5">
        <w:rPr>
          <w:rFonts w:ascii="Times New Roman" w:hAnsi="Times New Roman" w:cs="Times New Roman"/>
          <w:color w:val="0D0D0D" w:themeColor="text1" w:themeTint="F2"/>
          <w:sz w:val="24"/>
          <w:szCs w:val="24"/>
        </w:rPr>
        <w:t xml:space="preserve"> </w:t>
      </w:r>
      <w:r w:rsidR="006E7BFA" w:rsidRPr="00842FE5">
        <w:rPr>
          <w:rFonts w:ascii="Times New Roman" w:hAnsi="Times New Roman" w:cs="Times New Roman"/>
          <w:color w:val="0D0D0D" w:themeColor="text1" w:themeTint="F2"/>
          <w:sz w:val="24"/>
          <w:szCs w:val="24"/>
        </w:rPr>
        <w:t xml:space="preserve">The </w:t>
      </w:r>
      <w:r w:rsidR="001371DD" w:rsidRPr="00842FE5">
        <w:rPr>
          <w:rFonts w:ascii="Times New Roman" w:hAnsi="Times New Roman" w:cs="Times New Roman"/>
          <w:color w:val="0D0D0D" w:themeColor="text1" w:themeTint="F2"/>
          <w:sz w:val="24"/>
          <w:szCs w:val="24"/>
        </w:rPr>
        <w:t xml:space="preserve">mean </w:t>
      </w:r>
      <w:r w:rsidR="006E7BFA" w:rsidRPr="00842FE5">
        <w:rPr>
          <w:rFonts w:ascii="Times New Roman" w:hAnsi="Times New Roman" w:cs="Times New Roman"/>
          <w:color w:val="0D0D0D" w:themeColor="text1" w:themeTint="F2"/>
          <w:sz w:val="24"/>
          <w:szCs w:val="24"/>
        </w:rPr>
        <w:t xml:space="preserve">daily dose per kg body weight was </w:t>
      </w:r>
      <w:r w:rsidRPr="00842FE5">
        <w:rPr>
          <w:rFonts w:ascii="Times New Roman" w:hAnsi="Times New Roman" w:cs="Times New Roman"/>
          <w:color w:val="0D0D0D" w:themeColor="text1" w:themeTint="F2"/>
          <w:sz w:val="24"/>
          <w:szCs w:val="24"/>
        </w:rPr>
        <w:t>0.</w:t>
      </w:r>
      <w:r w:rsidR="006829C0" w:rsidRPr="00842FE5">
        <w:rPr>
          <w:rFonts w:ascii="Times New Roman" w:hAnsi="Times New Roman" w:cs="Times New Roman"/>
          <w:color w:val="0D0D0D" w:themeColor="text1" w:themeTint="F2"/>
          <w:sz w:val="24"/>
          <w:szCs w:val="24"/>
        </w:rPr>
        <w:t xml:space="preserve">35 </w:t>
      </w:r>
      <w:r w:rsidRPr="00842FE5">
        <w:rPr>
          <w:rFonts w:ascii="Times New Roman" w:hAnsi="Times New Roman" w:cs="Times New Roman"/>
          <w:color w:val="0D0D0D" w:themeColor="text1" w:themeTint="F2"/>
          <w:sz w:val="24"/>
          <w:szCs w:val="24"/>
        </w:rPr>
        <w:t xml:space="preserve">U/kg </w:t>
      </w:r>
      <w:r w:rsidR="006E7BFA" w:rsidRPr="00842FE5">
        <w:rPr>
          <w:rFonts w:ascii="Times New Roman" w:hAnsi="Times New Roman" w:cs="Times New Roman"/>
          <w:color w:val="0D0D0D" w:themeColor="text1" w:themeTint="F2"/>
          <w:sz w:val="24"/>
          <w:szCs w:val="24"/>
        </w:rPr>
        <w:t xml:space="preserve">at baseline and </w:t>
      </w:r>
      <w:r w:rsidRPr="00842FE5">
        <w:rPr>
          <w:rFonts w:ascii="Times New Roman" w:hAnsi="Times New Roman" w:cs="Times New Roman"/>
          <w:color w:val="0D0D0D" w:themeColor="text1" w:themeTint="F2"/>
          <w:sz w:val="24"/>
          <w:szCs w:val="24"/>
        </w:rPr>
        <w:t>increase</w:t>
      </w:r>
      <w:r w:rsidR="009F795B" w:rsidRPr="00842FE5">
        <w:rPr>
          <w:rFonts w:ascii="Times New Roman" w:hAnsi="Times New Roman" w:cs="Times New Roman"/>
          <w:color w:val="0D0D0D" w:themeColor="text1" w:themeTint="F2"/>
          <w:sz w:val="24"/>
          <w:szCs w:val="24"/>
        </w:rPr>
        <w:t>d</w:t>
      </w:r>
      <w:r w:rsidRPr="00842FE5">
        <w:rPr>
          <w:rFonts w:ascii="Times New Roman" w:hAnsi="Times New Roman" w:cs="Times New Roman"/>
          <w:color w:val="0D0D0D" w:themeColor="text1" w:themeTint="F2"/>
          <w:sz w:val="24"/>
          <w:szCs w:val="24"/>
        </w:rPr>
        <w:t xml:space="preserve"> to 0.47 U/kg and 0.</w:t>
      </w:r>
      <w:r w:rsidRPr="00F95ED1">
        <w:rPr>
          <w:rFonts w:ascii="Times New Roman" w:hAnsi="Times New Roman" w:cs="Times New Roman"/>
          <w:color w:val="0D0D0D" w:themeColor="text1" w:themeTint="F2"/>
          <w:sz w:val="24"/>
          <w:szCs w:val="24"/>
        </w:rPr>
        <w:t>5</w:t>
      </w:r>
      <w:r w:rsidR="00F95ED1">
        <w:rPr>
          <w:rFonts w:ascii="Times New Roman" w:hAnsi="Times New Roman" w:cs="Times New Roman"/>
          <w:color w:val="0D0D0D" w:themeColor="text1" w:themeTint="F2"/>
          <w:sz w:val="24"/>
          <w:szCs w:val="24"/>
        </w:rPr>
        <w:t>0</w:t>
      </w:r>
      <w:r w:rsidRPr="00842FE5">
        <w:rPr>
          <w:rFonts w:ascii="Times New Roman" w:hAnsi="Times New Roman" w:cs="Times New Roman"/>
          <w:color w:val="0D0D0D" w:themeColor="text1" w:themeTint="F2"/>
          <w:sz w:val="24"/>
          <w:szCs w:val="24"/>
        </w:rPr>
        <w:t xml:space="preserve"> U/kg at Week</w:t>
      </w:r>
      <w:r w:rsidR="00C71D2E" w:rsidRPr="00842FE5">
        <w:rPr>
          <w:rFonts w:ascii="Times New Roman" w:hAnsi="Times New Roman" w:cs="Times New Roman"/>
          <w:color w:val="0D0D0D" w:themeColor="text1" w:themeTint="F2"/>
          <w:sz w:val="24"/>
          <w:szCs w:val="24"/>
        </w:rPr>
        <w:t>s</w:t>
      </w:r>
      <w:r w:rsidRPr="00842FE5">
        <w:rPr>
          <w:rFonts w:ascii="Times New Roman" w:hAnsi="Times New Roman" w:cs="Times New Roman"/>
          <w:color w:val="0D0D0D" w:themeColor="text1" w:themeTint="F2"/>
          <w:sz w:val="24"/>
          <w:szCs w:val="24"/>
        </w:rPr>
        <w:t xml:space="preserve"> 12 and 26</w:t>
      </w:r>
      <w:r w:rsidR="00033458" w:rsidRPr="00842FE5">
        <w:rPr>
          <w:rFonts w:ascii="Times New Roman" w:hAnsi="Times New Roman" w:cs="Times New Roman"/>
          <w:color w:val="0D0D0D" w:themeColor="text1" w:themeTint="F2"/>
          <w:sz w:val="24"/>
          <w:szCs w:val="24"/>
        </w:rPr>
        <w:t>, respectively</w:t>
      </w:r>
      <w:r w:rsidRPr="00842FE5">
        <w:rPr>
          <w:rFonts w:ascii="Times New Roman" w:hAnsi="Times New Roman" w:cs="Times New Roman"/>
          <w:color w:val="0D0D0D" w:themeColor="text1" w:themeTint="F2"/>
          <w:sz w:val="24"/>
          <w:szCs w:val="24"/>
        </w:rPr>
        <w:t xml:space="preserve"> (</w:t>
      </w:r>
      <w:r w:rsidRPr="00842FE5">
        <w:rPr>
          <w:rFonts w:ascii="Times New Roman" w:hAnsi="Times New Roman" w:cs="Times New Roman"/>
          <w:b/>
          <w:bCs/>
          <w:color w:val="0D0D0D" w:themeColor="text1" w:themeTint="F2"/>
          <w:sz w:val="24"/>
          <w:szCs w:val="24"/>
        </w:rPr>
        <w:t xml:space="preserve">Figure </w:t>
      </w:r>
      <w:r w:rsidR="00D36017" w:rsidRPr="00842FE5">
        <w:rPr>
          <w:rFonts w:ascii="Times New Roman" w:hAnsi="Times New Roman" w:cs="Times New Roman"/>
          <w:b/>
          <w:bCs/>
          <w:color w:val="0D0D0D" w:themeColor="text1" w:themeTint="F2"/>
          <w:sz w:val="24"/>
          <w:szCs w:val="24"/>
        </w:rPr>
        <w:t>2D</w:t>
      </w:r>
      <w:r w:rsidR="007144D6" w:rsidRPr="00842FE5">
        <w:rPr>
          <w:rFonts w:ascii="Times New Roman" w:hAnsi="Times New Roman" w:cs="Times New Roman"/>
          <w:b/>
          <w:bCs/>
          <w:color w:val="0D0D0D" w:themeColor="text1" w:themeTint="F2"/>
          <w:sz w:val="24"/>
          <w:szCs w:val="24"/>
        </w:rPr>
        <w:t>)</w:t>
      </w:r>
      <w:r w:rsidR="00100070" w:rsidRPr="00842FE5">
        <w:rPr>
          <w:rFonts w:ascii="Times New Roman" w:hAnsi="Times New Roman" w:cs="Times New Roman"/>
          <w:b/>
          <w:bCs/>
          <w:color w:val="0D0D0D" w:themeColor="text1" w:themeTint="F2"/>
          <w:sz w:val="24"/>
          <w:szCs w:val="24"/>
        </w:rPr>
        <w:t>.</w:t>
      </w:r>
    </w:p>
    <w:p w14:paraId="5B83BEB5" w14:textId="032C46BC" w:rsidR="00B1407B" w:rsidRPr="00842FE5" w:rsidRDefault="00B1407B" w:rsidP="003858C4">
      <w:pPr>
        <w:pStyle w:val="ListParagraph"/>
        <w:spacing w:line="480" w:lineRule="auto"/>
        <w:ind w:left="709" w:hanging="709"/>
        <w:rPr>
          <w:rFonts w:ascii="Times New Roman" w:hAnsi="Times New Roman" w:cs="Times New Roman"/>
          <w:b/>
          <w:bCs/>
          <w:i/>
          <w:iCs/>
          <w:color w:val="0D0D0D" w:themeColor="text1" w:themeTint="F2"/>
          <w:sz w:val="24"/>
          <w:szCs w:val="24"/>
        </w:rPr>
      </w:pPr>
      <w:r w:rsidRPr="00842FE5">
        <w:rPr>
          <w:rFonts w:ascii="Times New Roman" w:hAnsi="Times New Roman" w:cs="Times New Roman"/>
          <w:b/>
          <w:bCs/>
          <w:i/>
          <w:iCs/>
          <w:color w:val="0D0D0D" w:themeColor="text1" w:themeTint="F2"/>
          <w:sz w:val="24"/>
          <w:szCs w:val="24"/>
        </w:rPr>
        <w:t>Body weight</w:t>
      </w:r>
    </w:p>
    <w:p w14:paraId="01951288" w14:textId="1BACEFA2" w:rsidR="00382622" w:rsidRPr="00842FE5" w:rsidRDefault="008C0650" w:rsidP="003858C4">
      <w:pPr>
        <w:spacing w:line="480" w:lineRule="auto"/>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lastRenderedPageBreak/>
        <w:t>The m</w:t>
      </w:r>
      <w:r w:rsidR="00382622" w:rsidRPr="00842FE5">
        <w:rPr>
          <w:rFonts w:ascii="Times New Roman" w:hAnsi="Times New Roman" w:cs="Times New Roman"/>
          <w:color w:val="0D0D0D" w:themeColor="text1" w:themeTint="F2"/>
          <w:sz w:val="24"/>
          <w:szCs w:val="24"/>
        </w:rPr>
        <w:t xml:space="preserve">ean </w:t>
      </w:r>
      <w:r w:rsidR="006E7BFA" w:rsidRPr="00842FE5">
        <w:rPr>
          <w:rFonts w:ascii="Times New Roman" w:hAnsi="Times New Roman" w:cs="Times New Roman"/>
          <w:color w:val="0D0D0D" w:themeColor="text1" w:themeTint="F2"/>
          <w:sz w:val="24"/>
          <w:szCs w:val="24"/>
        </w:rPr>
        <w:t xml:space="preserve">(± SD) </w:t>
      </w:r>
      <w:r w:rsidR="00382622" w:rsidRPr="00842FE5">
        <w:rPr>
          <w:rFonts w:ascii="Times New Roman" w:hAnsi="Times New Roman" w:cs="Times New Roman"/>
          <w:color w:val="0D0D0D" w:themeColor="text1" w:themeTint="F2"/>
          <w:sz w:val="24"/>
          <w:szCs w:val="24"/>
        </w:rPr>
        <w:t xml:space="preserve">weight was 78.43 </w:t>
      </w:r>
      <w:r w:rsidR="006E7BFA" w:rsidRPr="00842FE5">
        <w:rPr>
          <w:rFonts w:ascii="Times New Roman" w:hAnsi="Times New Roman" w:cs="Times New Roman"/>
          <w:color w:val="0D0D0D" w:themeColor="text1" w:themeTint="F2"/>
          <w:sz w:val="24"/>
          <w:szCs w:val="24"/>
        </w:rPr>
        <w:t xml:space="preserve">± </w:t>
      </w:r>
      <w:r w:rsidR="00382622" w:rsidRPr="00842FE5">
        <w:rPr>
          <w:rFonts w:ascii="Times New Roman" w:hAnsi="Times New Roman" w:cs="Times New Roman"/>
          <w:color w:val="0D0D0D" w:themeColor="text1" w:themeTint="F2"/>
          <w:sz w:val="24"/>
          <w:szCs w:val="24"/>
        </w:rPr>
        <w:t xml:space="preserve">16.90 kg at baseline </w:t>
      </w:r>
      <w:r w:rsidR="00580E31" w:rsidRPr="00842FE5">
        <w:rPr>
          <w:rFonts w:ascii="Times New Roman" w:hAnsi="Times New Roman" w:cs="Times New Roman"/>
          <w:color w:val="0D0D0D" w:themeColor="text1" w:themeTint="F2"/>
          <w:sz w:val="24"/>
          <w:szCs w:val="24"/>
        </w:rPr>
        <w:t>and</w:t>
      </w:r>
      <w:r w:rsidR="00E00123" w:rsidRPr="00842FE5">
        <w:rPr>
          <w:rFonts w:ascii="Times New Roman" w:hAnsi="Times New Roman" w:cs="Times New Roman"/>
          <w:color w:val="0D0D0D" w:themeColor="text1" w:themeTint="F2"/>
          <w:sz w:val="24"/>
          <w:szCs w:val="24"/>
        </w:rPr>
        <w:t xml:space="preserve"> </w:t>
      </w:r>
      <w:r w:rsidR="00382622" w:rsidRPr="00842FE5">
        <w:rPr>
          <w:rFonts w:ascii="Times New Roman" w:hAnsi="Times New Roman" w:cs="Times New Roman"/>
          <w:color w:val="0D0D0D" w:themeColor="text1" w:themeTint="F2"/>
          <w:sz w:val="24"/>
          <w:szCs w:val="24"/>
        </w:rPr>
        <w:t xml:space="preserve">79.16 </w:t>
      </w:r>
      <w:r w:rsidR="006E7BFA" w:rsidRPr="00842FE5">
        <w:rPr>
          <w:rFonts w:ascii="Times New Roman" w:hAnsi="Times New Roman" w:cs="Times New Roman"/>
          <w:color w:val="0D0D0D" w:themeColor="text1" w:themeTint="F2"/>
          <w:sz w:val="24"/>
          <w:szCs w:val="24"/>
        </w:rPr>
        <w:t xml:space="preserve">± </w:t>
      </w:r>
      <w:r w:rsidR="00382622" w:rsidRPr="00842FE5">
        <w:rPr>
          <w:rFonts w:ascii="Times New Roman" w:hAnsi="Times New Roman" w:cs="Times New Roman"/>
          <w:color w:val="0D0D0D" w:themeColor="text1" w:themeTint="F2"/>
          <w:sz w:val="24"/>
          <w:szCs w:val="24"/>
        </w:rPr>
        <w:t>16.92 kg at Week 26</w:t>
      </w:r>
      <w:r w:rsidR="006E7BFA" w:rsidRPr="00842FE5">
        <w:rPr>
          <w:rFonts w:ascii="Times New Roman" w:hAnsi="Times New Roman" w:cs="Times New Roman"/>
          <w:color w:val="0D0D0D" w:themeColor="text1" w:themeTint="F2"/>
          <w:sz w:val="24"/>
          <w:szCs w:val="24"/>
        </w:rPr>
        <w:t>, with a</w:t>
      </w:r>
      <w:r w:rsidR="00E00123" w:rsidRPr="00842FE5">
        <w:rPr>
          <w:rFonts w:ascii="Times New Roman" w:hAnsi="Times New Roman" w:cs="Times New Roman"/>
          <w:color w:val="0D0D0D" w:themeColor="text1" w:themeTint="F2"/>
          <w:sz w:val="24"/>
          <w:szCs w:val="24"/>
        </w:rPr>
        <w:t xml:space="preserve"> </w:t>
      </w:r>
      <w:r w:rsidR="00382622" w:rsidRPr="00842FE5">
        <w:rPr>
          <w:rFonts w:ascii="Times New Roman" w:hAnsi="Times New Roman" w:cs="Times New Roman"/>
          <w:color w:val="0D0D0D" w:themeColor="text1" w:themeTint="F2"/>
          <w:sz w:val="24"/>
          <w:szCs w:val="24"/>
        </w:rPr>
        <w:t xml:space="preserve">mean change from baseline </w:t>
      </w:r>
      <w:r w:rsidR="006E7BFA" w:rsidRPr="00842FE5">
        <w:rPr>
          <w:rFonts w:ascii="Times New Roman" w:hAnsi="Times New Roman" w:cs="Times New Roman"/>
          <w:color w:val="0D0D0D" w:themeColor="text1" w:themeTint="F2"/>
          <w:sz w:val="24"/>
          <w:szCs w:val="24"/>
        </w:rPr>
        <w:t xml:space="preserve">of </w:t>
      </w:r>
      <w:r w:rsidR="00382622" w:rsidRPr="00842FE5">
        <w:rPr>
          <w:rFonts w:ascii="Times New Roman" w:hAnsi="Times New Roman" w:cs="Times New Roman"/>
          <w:color w:val="0D0D0D" w:themeColor="text1" w:themeTint="F2"/>
          <w:sz w:val="24"/>
          <w:szCs w:val="24"/>
        </w:rPr>
        <w:t xml:space="preserve">0.82 </w:t>
      </w:r>
      <w:r w:rsidR="006E7BFA" w:rsidRPr="00842FE5">
        <w:rPr>
          <w:rFonts w:ascii="Times New Roman" w:hAnsi="Times New Roman" w:cs="Times New Roman"/>
          <w:color w:val="0D0D0D" w:themeColor="text1" w:themeTint="F2"/>
          <w:sz w:val="24"/>
          <w:szCs w:val="24"/>
        </w:rPr>
        <w:t>±</w:t>
      </w:r>
      <w:r w:rsidR="006E7BFA" w:rsidRPr="00842FE5" w:rsidDel="006E7BFA">
        <w:rPr>
          <w:rFonts w:ascii="Times New Roman" w:hAnsi="Times New Roman" w:cs="Times New Roman"/>
          <w:color w:val="0D0D0D" w:themeColor="text1" w:themeTint="F2"/>
          <w:sz w:val="24"/>
          <w:szCs w:val="24"/>
        </w:rPr>
        <w:t xml:space="preserve"> </w:t>
      </w:r>
      <w:r w:rsidR="00382622" w:rsidRPr="00842FE5">
        <w:rPr>
          <w:rFonts w:ascii="Times New Roman" w:hAnsi="Times New Roman" w:cs="Times New Roman"/>
          <w:color w:val="0D0D0D" w:themeColor="text1" w:themeTint="F2"/>
          <w:sz w:val="24"/>
          <w:szCs w:val="24"/>
        </w:rPr>
        <w:t>4.64 kg</w:t>
      </w:r>
      <w:r w:rsidR="006A1C96" w:rsidRPr="00842FE5">
        <w:rPr>
          <w:rFonts w:ascii="Times New Roman" w:hAnsi="Times New Roman" w:cs="Times New Roman"/>
          <w:color w:val="0D0D0D" w:themeColor="text1" w:themeTint="F2"/>
          <w:sz w:val="24"/>
          <w:szCs w:val="24"/>
        </w:rPr>
        <w:t>.</w:t>
      </w:r>
    </w:p>
    <w:p w14:paraId="20581E79" w14:textId="0E9A6D58" w:rsidR="000063AB" w:rsidRPr="00842FE5" w:rsidRDefault="00CB1631" w:rsidP="003858C4">
      <w:pPr>
        <w:spacing w:line="480" w:lineRule="auto"/>
        <w:rPr>
          <w:rFonts w:ascii="Times New Roman" w:hAnsi="Times New Roman" w:cs="Times New Roman"/>
          <w:b/>
          <w:bCs/>
          <w:i/>
          <w:iCs/>
          <w:color w:val="0D0D0D" w:themeColor="text1" w:themeTint="F2"/>
          <w:sz w:val="24"/>
          <w:szCs w:val="24"/>
        </w:rPr>
      </w:pPr>
      <w:r w:rsidRPr="00842FE5">
        <w:rPr>
          <w:rFonts w:ascii="Times New Roman" w:hAnsi="Times New Roman" w:cs="Times New Roman"/>
          <w:b/>
          <w:bCs/>
          <w:i/>
          <w:iCs/>
          <w:color w:val="0D0D0D" w:themeColor="text1" w:themeTint="F2"/>
          <w:sz w:val="24"/>
          <w:szCs w:val="24"/>
        </w:rPr>
        <w:t xml:space="preserve">Insulin </w:t>
      </w:r>
      <w:r w:rsidR="00ED4A32" w:rsidRPr="00842FE5">
        <w:rPr>
          <w:rFonts w:ascii="Times New Roman" w:hAnsi="Times New Roman" w:cs="Times New Roman"/>
          <w:b/>
          <w:bCs/>
          <w:i/>
          <w:iCs/>
          <w:color w:val="0D0D0D" w:themeColor="text1" w:themeTint="F2"/>
          <w:sz w:val="24"/>
          <w:szCs w:val="24"/>
        </w:rPr>
        <w:t>t</w:t>
      </w:r>
      <w:r w:rsidRPr="00842FE5">
        <w:rPr>
          <w:rFonts w:ascii="Times New Roman" w:hAnsi="Times New Roman" w:cs="Times New Roman"/>
          <w:b/>
          <w:bCs/>
          <w:i/>
          <w:iCs/>
          <w:color w:val="0D0D0D" w:themeColor="text1" w:themeTint="F2"/>
          <w:sz w:val="24"/>
          <w:szCs w:val="24"/>
        </w:rPr>
        <w:t xml:space="preserve">reatment </w:t>
      </w:r>
      <w:r w:rsidR="00ED4A32" w:rsidRPr="00842FE5">
        <w:rPr>
          <w:rFonts w:ascii="Times New Roman" w:hAnsi="Times New Roman" w:cs="Times New Roman"/>
          <w:b/>
          <w:bCs/>
          <w:i/>
          <w:iCs/>
          <w:color w:val="0D0D0D" w:themeColor="text1" w:themeTint="F2"/>
          <w:sz w:val="24"/>
          <w:szCs w:val="24"/>
        </w:rPr>
        <w:t>s</w:t>
      </w:r>
      <w:r w:rsidRPr="00842FE5">
        <w:rPr>
          <w:rFonts w:ascii="Times New Roman" w:hAnsi="Times New Roman" w:cs="Times New Roman"/>
          <w:b/>
          <w:bCs/>
          <w:i/>
          <w:iCs/>
          <w:color w:val="0D0D0D" w:themeColor="text1" w:themeTint="F2"/>
          <w:sz w:val="24"/>
          <w:szCs w:val="24"/>
        </w:rPr>
        <w:t xml:space="preserve">atisfaction </w:t>
      </w:r>
      <w:r w:rsidR="00ED4A32" w:rsidRPr="00842FE5">
        <w:rPr>
          <w:rFonts w:ascii="Times New Roman" w:hAnsi="Times New Roman" w:cs="Times New Roman"/>
          <w:b/>
          <w:bCs/>
          <w:i/>
          <w:iCs/>
          <w:color w:val="0D0D0D" w:themeColor="text1" w:themeTint="F2"/>
          <w:sz w:val="24"/>
          <w:szCs w:val="24"/>
        </w:rPr>
        <w:t>s</w:t>
      </w:r>
      <w:r w:rsidRPr="00842FE5">
        <w:rPr>
          <w:rFonts w:ascii="Times New Roman" w:hAnsi="Times New Roman" w:cs="Times New Roman"/>
          <w:b/>
          <w:bCs/>
          <w:i/>
          <w:iCs/>
          <w:color w:val="0D0D0D" w:themeColor="text1" w:themeTint="F2"/>
          <w:sz w:val="24"/>
          <w:szCs w:val="24"/>
        </w:rPr>
        <w:t>core</w:t>
      </w:r>
    </w:p>
    <w:p w14:paraId="61408C81" w14:textId="70F6F305" w:rsidR="00CB1631" w:rsidRPr="00842FE5" w:rsidRDefault="00230616" w:rsidP="003858C4">
      <w:pPr>
        <w:spacing w:line="480" w:lineRule="auto"/>
        <w:rPr>
          <w:rFonts w:ascii="Times New Roman" w:hAnsi="Times New Roman" w:cs="Times New Roman"/>
          <w:color w:val="0D0D0D" w:themeColor="text1" w:themeTint="F2"/>
          <w:sz w:val="24"/>
          <w:szCs w:val="24"/>
        </w:rPr>
      </w:pPr>
      <w:r w:rsidRPr="00910DA9">
        <w:rPr>
          <w:rFonts w:ascii="Times New Roman" w:hAnsi="Times New Roman" w:cs="Times New Roman"/>
          <w:color w:val="0D0D0D" w:themeColor="text1" w:themeTint="F2"/>
          <w:sz w:val="24"/>
          <w:szCs w:val="24"/>
        </w:rPr>
        <w:t xml:space="preserve">Treatment satisfaction increased over time following the initiation of Gla-300 therapy. </w:t>
      </w:r>
      <w:r w:rsidR="00EB7BA5" w:rsidRPr="00910DA9">
        <w:rPr>
          <w:rFonts w:ascii="Times New Roman" w:hAnsi="Times New Roman" w:cs="Times New Roman"/>
          <w:color w:val="0D0D0D" w:themeColor="text1" w:themeTint="F2"/>
          <w:sz w:val="24"/>
          <w:szCs w:val="24"/>
        </w:rPr>
        <w:t>The m</w:t>
      </w:r>
      <w:r w:rsidR="002810BF" w:rsidRPr="00910DA9">
        <w:rPr>
          <w:rFonts w:ascii="Times New Roman" w:hAnsi="Times New Roman" w:cs="Times New Roman"/>
          <w:color w:val="0D0D0D" w:themeColor="text1" w:themeTint="F2"/>
          <w:sz w:val="24"/>
          <w:szCs w:val="24"/>
        </w:rPr>
        <w:t xml:space="preserve">ean </w:t>
      </w:r>
      <w:r w:rsidR="00631F09" w:rsidRPr="00910DA9">
        <w:rPr>
          <w:rFonts w:ascii="Times New Roman" w:hAnsi="Times New Roman" w:cs="Times New Roman"/>
          <w:color w:val="0D0D0D" w:themeColor="text1" w:themeTint="F2"/>
          <w:sz w:val="24"/>
          <w:szCs w:val="24"/>
        </w:rPr>
        <w:t xml:space="preserve">(± SD) </w:t>
      </w:r>
      <w:r w:rsidR="002810BF" w:rsidRPr="00910DA9">
        <w:rPr>
          <w:rFonts w:ascii="Times New Roman" w:hAnsi="Times New Roman" w:cs="Times New Roman"/>
          <w:color w:val="0D0D0D" w:themeColor="text1" w:themeTint="F2"/>
          <w:sz w:val="24"/>
          <w:szCs w:val="24"/>
        </w:rPr>
        <w:t>ITSQ total satisfaction score increased from baseline</w:t>
      </w:r>
      <w:r w:rsidR="00E612A2">
        <w:rPr>
          <w:rFonts w:ascii="Times New Roman" w:hAnsi="Times New Roman" w:cs="Times New Roman"/>
          <w:color w:val="0D0D0D" w:themeColor="text1" w:themeTint="F2"/>
          <w:sz w:val="24"/>
          <w:szCs w:val="24"/>
        </w:rPr>
        <w:t>,</w:t>
      </w:r>
      <w:r w:rsidR="002810BF" w:rsidRPr="00910DA9">
        <w:rPr>
          <w:rFonts w:ascii="Times New Roman" w:hAnsi="Times New Roman" w:cs="Times New Roman"/>
          <w:color w:val="0D0D0D" w:themeColor="text1" w:themeTint="F2"/>
          <w:sz w:val="24"/>
          <w:szCs w:val="24"/>
        </w:rPr>
        <w:t xml:space="preserve"> 76.30</w:t>
      </w:r>
      <w:r w:rsidR="00AD6209" w:rsidRPr="00910DA9">
        <w:rPr>
          <w:rFonts w:ascii="Times New Roman" w:hAnsi="Times New Roman" w:cs="Times New Roman"/>
          <w:color w:val="0D0D0D" w:themeColor="text1" w:themeTint="F2"/>
          <w:sz w:val="24"/>
          <w:szCs w:val="24"/>
        </w:rPr>
        <w:t xml:space="preserve"> ± 15.63 </w:t>
      </w:r>
      <w:r w:rsidR="00E612A2" w:rsidRPr="00910DA9">
        <w:rPr>
          <w:rFonts w:ascii="Times New Roman" w:hAnsi="Times New Roman" w:cs="Times New Roman"/>
          <w:color w:val="0D0D0D" w:themeColor="text1" w:themeTint="F2"/>
          <w:sz w:val="24"/>
          <w:szCs w:val="24"/>
        </w:rPr>
        <w:t xml:space="preserve">(n=345) </w:t>
      </w:r>
      <w:r w:rsidR="001625F8" w:rsidRPr="00910DA9">
        <w:rPr>
          <w:rFonts w:ascii="Times New Roman" w:hAnsi="Times New Roman" w:cs="Times New Roman"/>
          <w:color w:val="0D0D0D" w:themeColor="text1" w:themeTint="F2"/>
          <w:sz w:val="24"/>
          <w:szCs w:val="24"/>
        </w:rPr>
        <w:t xml:space="preserve">to </w:t>
      </w:r>
      <w:r w:rsidR="00817070" w:rsidRPr="00910DA9">
        <w:rPr>
          <w:rFonts w:ascii="Times New Roman" w:hAnsi="Times New Roman" w:cs="Times New Roman"/>
          <w:color w:val="0D0D0D" w:themeColor="text1" w:themeTint="F2"/>
          <w:sz w:val="24"/>
          <w:szCs w:val="24"/>
        </w:rPr>
        <w:t>Week 12</w:t>
      </w:r>
      <w:r w:rsidR="00E612A2">
        <w:rPr>
          <w:rFonts w:ascii="Times New Roman" w:hAnsi="Times New Roman" w:cs="Times New Roman"/>
          <w:color w:val="0D0D0D" w:themeColor="text1" w:themeTint="F2"/>
          <w:sz w:val="24"/>
          <w:szCs w:val="24"/>
        </w:rPr>
        <w:t>,</w:t>
      </w:r>
      <w:r w:rsidR="008548C0" w:rsidRPr="00910DA9">
        <w:rPr>
          <w:rFonts w:ascii="Times New Roman" w:hAnsi="Times New Roman" w:cs="Times New Roman"/>
          <w:color w:val="0D0D0D" w:themeColor="text1" w:themeTint="F2"/>
          <w:sz w:val="24"/>
          <w:szCs w:val="24"/>
        </w:rPr>
        <w:t xml:space="preserve"> 83.51</w:t>
      </w:r>
      <w:r w:rsidR="00AD6209" w:rsidRPr="00910DA9">
        <w:rPr>
          <w:rFonts w:ascii="Times New Roman" w:hAnsi="Times New Roman" w:cs="Times New Roman"/>
          <w:color w:val="0D0D0D" w:themeColor="text1" w:themeTint="F2"/>
          <w:sz w:val="24"/>
          <w:szCs w:val="24"/>
        </w:rPr>
        <w:t xml:space="preserve"> ± 13.29</w:t>
      </w:r>
      <w:r w:rsidR="008B10A5" w:rsidRPr="00910DA9">
        <w:rPr>
          <w:rFonts w:ascii="Times New Roman" w:hAnsi="Times New Roman" w:cs="Times New Roman"/>
          <w:color w:val="0D0D0D" w:themeColor="text1" w:themeTint="F2"/>
          <w:sz w:val="24"/>
          <w:szCs w:val="24"/>
        </w:rPr>
        <w:t xml:space="preserve"> </w:t>
      </w:r>
      <w:r w:rsidR="00AD6209" w:rsidRPr="00910DA9">
        <w:rPr>
          <w:rFonts w:ascii="Times New Roman" w:hAnsi="Times New Roman" w:cs="Times New Roman"/>
          <w:color w:val="0D0D0D" w:themeColor="text1" w:themeTint="F2"/>
          <w:sz w:val="24"/>
          <w:szCs w:val="24"/>
        </w:rPr>
        <w:t>(</w:t>
      </w:r>
      <w:r w:rsidR="00855E4E" w:rsidRPr="00910DA9">
        <w:rPr>
          <w:rFonts w:ascii="Times New Roman" w:hAnsi="Times New Roman" w:cs="Times New Roman"/>
          <w:color w:val="0D0D0D" w:themeColor="text1" w:themeTint="F2"/>
          <w:sz w:val="24"/>
          <w:szCs w:val="24"/>
        </w:rPr>
        <w:t>n</w:t>
      </w:r>
      <w:r w:rsidR="008B10A5" w:rsidRPr="00910DA9">
        <w:rPr>
          <w:rFonts w:ascii="Times New Roman" w:hAnsi="Times New Roman" w:cs="Times New Roman"/>
          <w:color w:val="0D0D0D" w:themeColor="text1" w:themeTint="F2"/>
          <w:sz w:val="24"/>
          <w:szCs w:val="24"/>
        </w:rPr>
        <w:t>=344</w:t>
      </w:r>
      <w:r w:rsidR="008548C0" w:rsidRPr="00910DA9">
        <w:rPr>
          <w:rFonts w:ascii="Times New Roman" w:hAnsi="Times New Roman" w:cs="Times New Roman"/>
          <w:color w:val="0D0D0D" w:themeColor="text1" w:themeTint="F2"/>
          <w:sz w:val="24"/>
          <w:szCs w:val="24"/>
        </w:rPr>
        <w:t>)</w:t>
      </w:r>
      <w:r w:rsidR="00817070" w:rsidRPr="00910DA9">
        <w:rPr>
          <w:rFonts w:ascii="Times New Roman" w:hAnsi="Times New Roman" w:cs="Times New Roman"/>
          <w:color w:val="0D0D0D" w:themeColor="text1" w:themeTint="F2"/>
          <w:sz w:val="24"/>
          <w:szCs w:val="24"/>
        </w:rPr>
        <w:t xml:space="preserve"> and </w:t>
      </w:r>
      <w:r w:rsidR="008B10A5" w:rsidRPr="00910DA9">
        <w:rPr>
          <w:rFonts w:ascii="Times New Roman" w:hAnsi="Times New Roman" w:cs="Times New Roman"/>
          <w:color w:val="0D0D0D" w:themeColor="text1" w:themeTint="F2"/>
          <w:sz w:val="24"/>
          <w:szCs w:val="24"/>
        </w:rPr>
        <w:t>Week 26</w:t>
      </w:r>
      <w:r w:rsidR="00E612A2">
        <w:rPr>
          <w:rFonts w:ascii="Times New Roman" w:hAnsi="Times New Roman" w:cs="Times New Roman"/>
          <w:color w:val="0D0D0D" w:themeColor="text1" w:themeTint="F2"/>
          <w:sz w:val="24"/>
          <w:szCs w:val="24"/>
        </w:rPr>
        <w:t>,</w:t>
      </w:r>
      <w:r w:rsidR="00B258D7" w:rsidRPr="00910DA9">
        <w:rPr>
          <w:rFonts w:ascii="Times New Roman" w:hAnsi="Times New Roman" w:cs="Times New Roman"/>
          <w:color w:val="0D0D0D" w:themeColor="text1" w:themeTint="F2"/>
          <w:sz w:val="24"/>
          <w:szCs w:val="24"/>
        </w:rPr>
        <w:t xml:space="preserve"> </w:t>
      </w:r>
      <w:r w:rsidR="002810BF" w:rsidRPr="00910DA9">
        <w:rPr>
          <w:rFonts w:ascii="Times New Roman" w:hAnsi="Times New Roman" w:cs="Times New Roman"/>
          <w:color w:val="0D0D0D" w:themeColor="text1" w:themeTint="F2"/>
          <w:sz w:val="24"/>
          <w:szCs w:val="24"/>
        </w:rPr>
        <w:t>84.42</w:t>
      </w:r>
      <w:r w:rsidR="00E225AE" w:rsidRPr="00910DA9">
        <w:rPr>
          <w:rFonts w:ascii="Times New Roman" w:hAnsi="Times New Roman" w:cs="Times New Roman"/>
          <w:color w:val="0D0D0D" w:themeColor="text1" w:themeTint="F2"/>
          <w:sz w:val="24"/>
          <w:szCs w:val="24"/>
        </w:rPr>
        <w:t xml:space="preserve"> ± 13.15</w:t>
      </w:r>
      <w:r w:rsidR="008B10A5" w:rsidRPr="00910DA9">
        <w:rPr>
          <w:rFonts w:ascii="Times New Roman" w:hAnsi="Times New Roman" w:cs="Times New Roman"/>
          <w:color w:val="0D0D0D" w:themeColor="text1" w:themeTint="F2"/>
          <w:sz w:val="24"/>
          <w:szCs w:val="24"/>
        </w:rPr>
        <w:t xml:space="preserve"> </w:t>
      </w:r>
      <w:r w:rsidR="00AD6209" w:rsidRPr="00910DA9">
        <w:rPr>
          <w:rFonts w:ascii="Times New Roman" w:hAnsi="Times New Roman" w:cs="Times New Roman"/>
          <w:color w:val="0D0D0D" w:themeColor="text1" w:themeTint="F2"/>
          <w:sz w:val="24"/>
          <w:szCs w:val="24"/>
        </w:rPr>
        <w:t>(</w:t>
      </w:r>
      <w:r w:rsidR="00855E4E" w:rsidRPr="00910DA9">
        <w:rPr>
          <w:rFonts w:ascii="Times New Roman" w:hAnsi="Times New Roman" w:cs="Times New Roman"/>
          <w:color w:val="0D0D0D" w:themeColor="text1" w:themeTint="F2"/>
          <w:sz w:val="24"/>
          <w:szCs w:val="24"/>
        </w:rPr>
        <w:t>n</w:t>
      </w:r>
      <w:r w:rsidR="008B10A5" w:rsidRPr="00910DA9">
        <w:rPr>
          <w:rFonts w:ascii="Times New Roman" w:hAnsi="Times New Roman" w:cs="Times New Roman"/>
          <w:color w:val="0D0D0D" w:themeColor="text1" w:themeTint="F2"/>
          <w:sz w:val="24"/>
          <w:szCs w:val="24"/>
        </w:rPr>
        <w:t>=</w:t>
      </w:r>
      <w:r w:rsidR="00855E4E" w:rsidRPr="00910DA9">
        <w:rPr>
          <w:rFonts w:ascii="Times New Roman" w:hAnsi="Times New Roman" w:cs="Times New Roman"/>
          <w:color w:val="0D0D0D" w:themeColor="text1" w:themeTint="F2"/>
          <w:sz w:val="24"/>
          <w:szCs w:val="24"/>
        </w:rPr>
        <w:t>337)</w:t>
      </w:r>
      <w:r w:rsidR="002810BF" w:rsidRPr="00910DA9">
        <w:rPr>
          <w:rFonts w:ascii="Times New Roman" w:hAnsi="Times New Roman" w:cs="Times New Roman"/>
          <w:color w:val="0D0D0D" w:themeColor="text1" w:themeTint="F2"/>
          <w:sz w:val="24"/>
          <w:szCs w:val="24"/>
        </w:rPr>
        <w:t>.</w:t>
      </w:r>
      <w:r w:rsidR="006E3D5C" w:rsidRPr="00910DA9">
        <w:rPr>
          <w:rFonts w:ascii="Times New Roman" w:hAnsi="Times New Roman" w:cs="Times New Roman"/>
          <w:color w:val="0D0D0D" w:themeColor="text1" w:themeTint="F2"/>
          <w:sz w:val="24"/>
          <w:szCs w:val="24"/>
        </w:rPr>
        <w:t xml:space="preserve"> </w:t>
      </w:r>
      <w:r w:rsidR="00531388" w:rsidRPr="00910DA9">
        <w:rPr>
          <w:rFonts w:ascii="Times New Roman" w:hAnsi="Times New Roman" w:cs="Times New Roman"/>
          <w:color w:val="0D0D0D" w:themeColor="text1" w:themeTint="F2"/>
          <w:sz w:val="24"/>
          <w:szCs w:val="24"/>
        </w:rPr>
        <w:t xml:space="preserve">Improvements were noted for all ITSQ domain scores, especially </w:t>
      </w:r>
      <w:r w:rsidR="00241A6D" w:rsidRPr="00910DA9">
        <w:rPr>
          <w:rFonts w:ascii="Times New Roman" w:hAnsi="Times New Roman" w:cs="Times New Roman"/>
          <w:color w:val="0D0D0D" w:themeColor="text1" w:themeTint="F2"/>
          <w:sz w:val="24"/>
          <w:szCs w:val="24"/>
        </w:rPr>
        <w:t xml:space="preserve">the </w:t>
      </w:r>
      <w:r w:rsidR="00531388" w:rsidRPr="00910DA9">
        <w:rPr>
          <w:rFonts w:ascii="Times New Roman" w:hAnsi="Times New Roman" w:cs="Times New Roman"/>
          <w:color w:val="0D0D0D" w:themeColor="text1" w:themeTint="F2"/>
          <w:sz w:val="24"/>
          <w:szCs w:val="24"/>
        </w:rPr>
        <w:t>glyc</w:t>
      </w:r>
      <w:r w:rsidR="00420C02" w:rsidRPr="00910DA9">
        <w:rPr>
          <w:rFonts w:ascii="Times New Roman" w:hAnsi="Times New Roman" w:cs="Times New Roman"/>
          <w:color w:val="0D0D0D" w:themeColor="text1" w:themeTint="F2"/>
          <w:sz w:val="24"/>
          <w:szCs w:val="24"/>
        </w:rPr>
        <w:t>a</w:t>
      </w:r>
      <w:r w:rsidR="00531388" w:rsidRPr="00910DA9">
        <w:rPr>
          <w:rFonts w:ascii="Times New Roman" w:hAnsi="Times New Roman" w:cs="Times New Roman"/>
          <w:color w:val="0D0D0D" w:themeColor="text1" w:themeTint="F2"/>
          <w:sz w:val="24"/>
          <w:szCs w:val="24"/>
        </w:rPr>
        <w:t>emic control</w:t>
      </w:r>
      <w:r w:rsidR="00241A6D" w:rsidRPr="00910DA9">
        <w:rPr>
          <w:rFonts w:ascii="Times New Roman" w:hAnsi="Times New Roman" w:cs="Times New Roman"/>
          <w:color w:val="0D0D0D" w:themeColor="text1" w:themeTint="F2"/>
          <w:sz w:val="24"/>
          <w:szCs w:val="24"/>
        </w:rPr>
        <w:t xml:space="preserve"> score</w:t>
      </w:r>
      <w:r w:rsidR="00341DBB" w:rsidRPr="00910DA9">
        <w:rPr>
          <w:rFonts w:ascii="Times New Roman" w:hAnsi="Times New Roman" w:cs="Times New Roman"/>
          <w:color w:val="0D0D0D" w:themeColor="text1" w:themeTint="F2"/>
          <w:sz w:val="24"/>
          <w:szCs w:val="24"/>
        </w:rPr>
        <w:t>;</w:t>
      </w:r>
      <w:r w:rsidR="00531388" w:rsidRPr="00910DA9">
        <w:rPr>
          <w:rFonts w:ascii="Times New Roman" w:hAnsi="Times New Roman" w:cs="Times New Roman"/>
          <w:color w:val="0D0D0D" w:themeColor="text1" w:themeTint="F2"/>
          <w:sz w:val="24"/>
          <w:szCs w:val="24"/>
        </w:rPr>
        <w:t xml:space="preserve"> </w:t>
      </w:r>
      <w:r w:rsidR="00910DA9" w:rsidRPr="00910DA9">
        <w:rPr>
          <w:rFonts w:ascii="Times New Roman" w:hAnsi="Times New Roman" w:cs="Times New Roman"/>
          <w:color w:val="0D0D0D" w:themeColor="text1" w:themeTint="F2"/>
          <w:sz w:val="24"/>
          <w:szCs w:val="24"/>
        </w:rPr>
        <w:t>m</w:t>
      </w:r>
      <w:r w:rsidR="005277D9" w:rsidRPr="00910DA9">
        <w:rPr>
          <w:rFonts w:ascii="Times New Roman" w:hAnsi="Times New Roman" w:cs="Times New Roman"/>
          <w:color w:val="0D0D0D" w:themeColor="text1" w:themeTint="F2"/>
          <w:sz w:val="24"/>
          <w:szCs w:val="24"/>
        </w:rPr>
        <w:t xml:space="preserve">ean (± SD) at </w:t>
      </w:r>
      <w:r w:rsidR="00531388" w:rsidRPr="00910DA9">
        <w:rPr>
          <w:rFonts w:ascii="Times New Roman" w:hAnsi="Times New Roman" w:cs="Times New Roman"/>
          <w:color w:val="0D0D0D" w:themeColor="text1" w:themeTint="F2"/>
          <w:sz w:val="24"/>
          <w:szCs w:val="24"/>
        </w:rPr>
        <w:t>baseline</w:t>
      </w:r>
      <w:r w:rsidR="00AF1780">
        <w:rPr>
          <w:rFonts w:ascii="Times New Roman" w:hAnsi="Times New Roman" w:cs="Times New Roman"/>
          <w:color w:val="0D0D0D" w:themeColor="text1" w:themeTint="F2"/>
          <w:sz w:val="24"/>
          <w:szCs w:val="24"/>
        </w:rPr>
        <w:t>,</w:t>
      </w:r>
      <w:r w:rsidR="00531388" w:rsidRPr="00910DA9">
        <w:rPr>
          <w:rFonts w:ascii="Times New Roman" w:hAnsi="Times New Roman" w:cs="Times New Roman"/>
          <w:color w:val="0D0D0D" w:themeColor="text1" w:themeTint="F2"/>
          <w:sz w:val="24"/>
          <w:szCs w:val="24"/>
        </w:rPr>
        <w:t xml:space="preserve"> 65.83</w:t>
      </w:r>
      <w:r w:rsidR="005277D9" w:rsidRPr="00910DA9">
        <w:rPr>
          <w:rFonts w:ascii="Times New Roman" w:hAnsi="Times New Roman" w:cs="Times New Roman"/>
          <w:color w:val="0D0D0D" w:themeColor="text1" w:themeTint="F2"/>
          <w:sz w:val="24"/>
          <w:szCs w:val="24"/>
        </w:rPr>
        <w:t xml:space="preserve"> ±</w:t>
      </w:r>
      <w:r w:rsidR="00D66552" w:rsidRPr="00910DA9">
        <w:rPr>
          <w:rFonts w:ascii="Times New Roman" w:hAnsi="Times New Roman" w:cs="Times New Roman"/>
          <w:color w:val="0D0D0D" w:themeColor="text1" w:themeTint="F2"/>
          <w:sz w:val="24"/>
          <w:szCs w:val="24"/>
        </w:rPr>
        <w:t xml:space="preserve"> 23.94</w:t>
      </w:r>
      <w:r w:rsidR="00241A6D" w:rsidRPr="00910DA9">
        <w:rPr>
          <w:rFonts w:ascii="Times New Roman" w:hAnsi="Times New Roman" w:cs="Times New Roman"/>
          <w:color w:val="0D0D0D" w:themeColor="text1" w:themeTint="F2"/>
          <w:sz w:val="24"/>
          <w:szCs w:val="24"/>
        </w:rPr>
        <w:t xml:space="preserve"> </w:t>
      </w:r>
      <w:r w:rsidR="005277D9" w:rsidRPr="00910DA9">
        <w:rPr>
          <w:rFonts w:ascii="Times New Roman" w:hAnsi="Times New Roman" w:cs="Times New Roman"/>
          <w:color w:val="0D0D0D" w:themeColor="text1" w:themeTint="F2"/>
          <w:sz w:val="24"/>
          <w:szCs w:val="24"/>
        </w:rPr>
        <w:t>(</w:t>
      </w:r>
      <w:r w:rsidR="00241A6D" w:rsidRPr="00910DA9">
        <w:rPr>
          <w:rFonts w:ascii="Times New Roman" w:hAnsi="Times New Roman" w:cs="Times New Roman"/>
          <w:color w:val="0D0D0D" w:themeColor="text1" w:themeTint="F2"/>
          <w:sz w:val="24"/>
          <w:szCs w:val="24"/>
        </w:rPr>
        <w:t>n=</w:t>
      </w:r>
      <w:r w:rsidR="00B923BE" w:rsidRPr="00910DA9">
        <w:rPr>
          <w:rFonts w:ascii="Times New Roman" w:hAnsi="Times New Roman" w:cs="Times New Roman"/>
          <w:color w:val="0D0D0D" w:themeColor="text1" w:themeTint="F2"/>
          <w:sz w:val="24"/>
          <w:szCs w:val="24"/>
        </w:rPr>
        <w:t>352)</w:t>
      </w:r>
      <w:r w:rsidR="00CE0E72" w:rsidRPr="00910DA9">
        <w:rPr>
          <w:rFonts w:ascii="Times New Roman" w:hAnsi="Times New Roman" w:cs="Times New Roman"/>
          <w:color w:val="0D0D0D" w:themeColor="text1" w:themeTint="F2"/>
          <w:sz w:val="24"/>
          <w:szCs w:val="24"/>
        </w:rPr>
        <w:t xml:space="preserve"> to</w:t>
      </w:r>
      <w:r w:rsidR="00531388" w:rsidRPr="00910DA9">
        <w:rPr>
          <w:rFonts w:ascii="Times New Roman" w:hAnsi="Times New Roman" w:cs="Times New Roman"/>
          <w:color w:val="0D0D0D" w:themeColor="text1" w:themeTint="F2"/>
          <w:sz w:val="24"/>
          <w:szCs w:val="24"/>
        </w:rPr>
        <w:t xml:space="preserve"> </w:t>
      </w:r>
      <w:r w:rsidR="002C22F2" w:rsidRPr="00910DA9">
        <w:rPr>
          <w:rFonts w:ascii="Times New Roman" w:hAnsi="Times New Roman" w:cs="Times New Roman"/>
          <w:color w:val="0D0D0D" w:themeColor="text1" w:themeTint="F2"/>
          <w:sz w:val="24"/>
          <w:szCs w:val="24"/>
        </w:rPr>
        <w:t>Week 12</w:t>
      </w:r>
      <w:r w:rsidR="00AF1780">
        <w:rPr>
          <w:rFonts w:ascii="Times New Roman" w:hAnsi="Times New Roman" w:cs="Times New Roman"/>
          <w:color w:val="0D0D0D" w:themeColor="text1" w:themeTint="F2"/>
          <w:sz w:val="24"/>
          <w:szCs w:val="24"/>
        </w:rPr>
        <w:t>,</w:t>
      </w:r>
      <w:r w:rsidR="00184C37" w:rsidRPr="00910DA9">
        <w:rPr>
          <w:rFonts w:ascii="Times New Roman" w:hAnsi="Times New Roman" w:cs="Times New Roman"/>
          <w:color w:val="0D0D0D" w:themeColor="text1" w:themeTint="F2"/>
          <w:sz w:val="24"/>
          <w:szCs w:val="24"/>
        </w:rPr>
        <w:t xml:space="preserve"> 80.92</w:t>
      </w:r>
      <w:r w:rsidR="00D66552" w:rsidRPr="00910DA9">
        <w:rPr>
          <w:rFonts w:ascii="Times New Roman" w:hAnsi="Times New Roman" w:cs="Times New Roman"/>
          <w:color w:val="0D0D0D" w:themeColor="text1" w:themeTint="F2"/>
          <w:sz w:val="24"/>
          <w:szCs w:val="24"/>
        </w:rPr>
        <w:t xml:space="preserve"> ± 18.18</w:t>
      </w:r>
      <w:r w:rsidR="007F735D" w:rsidRPr="00910DA9">
        <w:rPr>
          <w:rFonts w:ascii="Times New Roman" w:hAnsi="Times New Roman" w:cs="Times New Roman"/>
          <w:color w:val="0D0D0D" w:themeColor="text1" w:themeTint="F2"/>
          <w:sz w:val="24"/>
          <w:szCs w:val="24"/>
        </w:rPr>
        <w:t xml:space="preserve"> </w:t>
      </w:r>
      <w:r w:rsidR="00FF1DAA" w:rsidRPr="00910DA9">
        <w:rPr>
          <w:rFonts w:ascii="Times New Roman" w:hAnsi="Times New Roman" w:cs="Times New Roman"/>
          <w:color w:val="0D0D0D" w:themeColor="text1" w:themeTint="F2"/>
          <w:sz w:val="24"/>
          <w:szCs w:val="24"/>
        </w:rPr>
        <w:t>(</w:t>
      </w:r>
      <w:r w:rsidR="007F735D" w:rsidRPr="00910DA9">
        <w:rPr>
          <w:rFonts w:ascii="Times New Roman" w:hAnsi="Times New Roman" w:cs="Times New Roman"/>
          <w:color w:val="0D0D0D" w:themeColor="text1" w:themeTint="F2"/>
          <w:sz w:val="24"/>
          <w:szCs w:val="24"/>
        </w:rPr>
        <w:t>n=354</w:t>
      </w:r>
      <w:r w:rsidR="00CE0E72" w:rsidRPr="00910DA9">
        <w:rPr>
          <w:rFonts w:ascii="Times New Roman" w:hAnsi="Times New Roman" w:cs="Times New Roman"/>
          <w:color w:val="0D0D0D" w:themeColor="text1" w:themeTint="F2"/>
          <w:sz w:val="24"/>
          <w:szCs w:val="24"/>
        </w:rPr>
        <w:t>)</w:t>
      </w:r>
      <w:r w:rsidR="00531388" w:rsidRPr="00910DA9">
        <w:rPr>
          <w:rFonts w:ascii="Times New Roman" w:hAnsi="Times New Roman" w:cs="Times New Roman"/>
          <w:color w:val="0D0D0D" w:themeColor="text1" w:themeTint="F2"/>
          <w:sz w:val="24"/>
          <w:szCs w:val="24"/>
        </w:rPr>
        <w:t xml:space="preserve"> and Week 26</w:t>
      </w:r>
      <w:r w:rsidR="00AF1780">
        <w:rPr>
          <w:rFonts w:ascii="Times New Roman" w:hAnsi="Times New Roman" w:cs="Times New Roman"/>
          <w:color w:val="0D0D0D" w:themeColor="text1" w:themeTint="F2"/>
          <w:sz w:val="24"/>
          <w:szCs w:val="24"/>
        </w:rPr>
        <w:t>,</w:t>
      </w:r>
      <w:r w:rsidR="008238A2" w:rsidRPr="00910DA9">
        <w:rPr>
          <w:rFonts w:ascii="Times New Roman" w:hAnsi="Times New Roman" w:cs="Times New Roman"/>
          <w:color w:val="0D0D0D" w:themeColor="text1" w:themeTint="F2"/>
          <w:sz w:val="24"/>
          <w:szCs w:val="24"/>
        </w:rPr>
        <w:t xml:space="preserve"> </w:t>
      </w:r>
      <w:r w:rsidR="00184C37" w:rsidRPr="00910DA9">
        <w:rPr>
          <w:rFonts w:ascii="Times New Roman" w:hAnsi="Times New Roman" w:cs="Times New Roman"/>
          <w:color w:val="0D0D0D" w:themeColor="text1" w:themeTint="F2"/>
          <w:sz w:val="24"/>
          <w:szCs w:val="24"/>
        </w:rPr>
        <w:t>82.75</w:t>
      </w:r>
      <w:r w:rsidR="00D66552" w:rsidRPr="00910DA9">
        <w:rPr>
          <w:rFonts w:ascii="Times New Roman" w:hAnsi="Times New Roman" w:cs="Times New Roman"/>
          <w:color w:val="0D0D0D" w:themeColor="text1" w:themeTint="F2"/>
          <w:sz w:val="24"/>
          <w:szCs w:val="24"/>
        </w:rPr>
        <w:t xml:space="preserve"> ±</w:t>
      </w:r>
      <w:r w:rsidR="00FF1DAA" w:rsidRPr="00910DA9">
        <w:rPr>
          <w:rFonts w:ascii="Times New Roman" w:hAnsi="Times New Roman" w:cs="Times New Roman"/>
          <w:color w:val="0D0D0D" w:themeColor="text1" w:themeTint="F2"/>
          <w:sz w:val="24"/>
          <w:szCs w:val="24"/>
        </w:rPr>
        <w:t xml:space="preserve"> 17.09</w:t>
      </w:r>
      <w:r w:rsidR="00D66552" w:rsidRPr="00910DA9">
        <w:rPr>
          <w:rFonts w:ascii="Times New Roman" w:hAnsi="Times New Roman" w:cs="Times New Roman"/>
          <w:color w:val="0D0D0D" w:themeColor="text1" w:themeTint="F2"/>
          <w:sz w:val="24"/>
          <w:szCs w:val="24"/>
        </w:rPr>
        <w:t xml:space="preserve"> </w:t>
      </w:r>
      <w:r w:rsidR="00FF1DAA" w:rsidRPr="00910DA9">
        <w:rPr>
          <w:rFonts w:ascii="Times New Roman" w:hAnsi="Times New Roman" w:cs="Times New Roman"/>
          <w:color w:val="0D0D0D" w:themeColor="text1" w:themeTint="F2"/>
          <w:sz w:val="24"/>
          <w:szCs w:val="24"/>
        </w:rPr>
        <w:t>(</w:t>
      </w:r>
      <w:r w:rsidR="007F735D" w:rsidRPr="00910DA9">
        <w:rPr>
          <w:rFonts w:ascii="Times New Roman" w:hAnsi="Times New Roman" w:cs="Times New Roman"/>
          <w:color w:val="0D0D0D" w:themeColor="text1" w:themeTint="F2"/>
          <w:sz w:val="24"/>
          <w:szCs w:val="24"/>
        </w:rPr>
        <w:t>n=</w:t>
      </w:r>
      <w:r w:rsidR="00C23AE7" w:rsidRPr="00910DA9">
        <w:rPr>
          <w:rFonts w:ascii="Times New Roman" w:hAnsi="Times New Roman" w:cs="Times New Roman"/>
          <w:color w:val="0D0D0D" w:themeColor="text1" w:themeTint="F2"/>
          <w:sz w:val="24"/>
          <w:szCs w:val="24"/>
        </w:rPr>
        <w:t>350</w:t>
      </w:r>
      <w:r w:rsidR="00531388" w:rsidRPr="00910DA9">
        <w:rPr>
          <w:rFonts w:ascii="Times New Roman" w:hAnsi="Times New Roman" w:cs="Times New Roman"/>
          <w:color w:val="0D0D0D" w:themeColor="text1" w:themeTint="F2"/>
          <w:sz w:val="24"/>
          <w:szCs w:val="24"/>
        </w:rPr>
        <w:t>)</w:t>
      </w:r>
      <w:r w:rsidR="00F95ED1">
        <w:rPr>
          <w:rFonts w:ascii="Times New Roman" w:hAnsi="Times New Roman" w:cs="Times New Roman"/>
          <w:color w:val="0D0D0D" w:themeColor="text1" w:themeTint="F2"/>
          <w:sz w:val="24"/>
          <w:szCs w:val="24"/>
        </w:rPr>
        <w:t xml:space="preserve"> (</w:t>
      </w:r>
      <w:r w:rsidR="00F95ED1" w:rsidRPr="009274B9">
        <w:rPr>
          <w:rFonts w:ascii="Times New Roman" w:hAnsi="Times New Roman" w:cs="Times New Roman"/>
          <w:b/>
          <w:bCs/>
          <w:color w:val="0D0D0D" w:themeColor="text1" w:themeTint="F2"/>
          <w:sz w:val="24"/>
          <w:szCs w:val="24"/>
        </w:rPr>
        <w:t>Supplementary Table 1</w:t>
      </w:r>
      <w:r w:rsidR="00F95ED1">
        <w:rPr>
          <w:rFonts w:ascii="Times New Roman" w:hAnsi="Times New Roman" w:cs="Times New Roman"/>
          <w:color w:val="0D0D0D" w:themeColor="text1" w:themeTint="F2"/>
          <w:sz w:val="24"/>
          <w:szCs w:val="24"/>
        </w:rPr>
        <w:t>)</w:t>
      </w:r>
      <w:r w:rsidR="00531388" w:rsidRPr="00910DA9">
        <w:rPr>
          <w:rFonts w:ascii="Times New Roman" w:hAnsi="Times New Roman" w:cs="Times New Roman"/>
          <w:color w:val="0D0D0D" w:themeColor="text1" w:themeTint="F2"/>
          <w:sz w:val="24"/>
          <w:szCs w:val="24"/>
        </w:rPr>
        <w:t>.</w:t>
      </w:r>
    </w:p>
    <w:p w14:paraId="78F7EB12" w14:textId="75483263" w:rsidR="00284A10" w:rsidRPr="00842FE5" w:rsidRDefault="00284A10" w:rsidP="003858C4">
      <w:pPr>
        <w:spacing w:line="480" w:lineRule="auto"/>
        <w:rPr>
          <w:rFonts w:ascii="Times New Roman" w:hAnsi="Times New Roman" w:cs="Times New Roman"/>
          <w:b/>
          <w:bCs/>
          <w:i/>
          <w:iCs/>
          <w:color w:val="0D0D0D" w:themeColor="text1" w:themeTint="F2"/>
          <w:sz w:val="24"/>
          <w:szCs w:val="24"/>
        </w:rPr>
      </w:pPr>
      <w:r w:rsidRPr="00842FE5">
        <w:rPr>
          <w:rFonts w:ascii="Times New Roman" w:hAnsi="Times New Roman" w:cs="Times New Roman"/>
          <w:b/>
          <w:bCs/>
          <w:i/>
          <w:iCs/>
          <w:color w:val="0D0D0D" w:themeColor="text1" w:themeTint="F2"/>
          <w:sz w:val="24"/>
          <w:szCs w:val="24"/>
        </w:rPr>
        <w:t>Healthcare resource utili</w:t>
      </w:r>
      <w:r w:rsidR="00E2084E" w:rsidRPr="00842FE5">
        <w:rPr>
          <w:rFonts w:ascii="Times New Roman" w:hAnsi="Times New Roman" w:cs="Times New Roman"/>
          <w:b/>
          <w:bCs/>
          <w:i/>
          <w:iCs/>
          <w:color w:val="0D0D0D" w:themeColor="text1" w:themeTint="F2"/>
          <w:sz w:val="24"/>
          <w:szCs w:val="24"/>
        </w:rPr>
        <w:t>s</w:t>
      </w:r>
      <w:r w:rsidRPr="00842FE5">
        <w:rPr>
          <w:rFonts w:ascii="Times New Roman" w:hAnsi="Times New Roman" w:cs="Times New Roman"/>
          <w:b/>
          <w:bCs/>
          <w:i/>
          <w:iCs/>
          <w:color w:val="0D0D0D" w:themeColor="text1" w:themeTint="F2"/>
          <w:sz w:val="24"/>
          <w:szCs w:val="24"/>
        </w:rPr>
        <w:t>ation</w:t>
      </w:r>
    </w:p>
    <w:p w14:paraId="1C4179D8" w14:textId="750B6F3A" w:rsidR="00284A10" w:rsidRPr="00842FE5" w:rsidRDefault="00D10404" w:rsidP="003858C4">
      <w:pPr>
        <w:spacing w:line="480" w:lineRule="auto"/>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Over a</w:t>
      </w:r>
      <w:r w:rsidR="00945607" w:rsidRPr="00842FE5">
        <w:rPr>
          <w:rFonts w:ascii="Times New Roman" w:hAnsi="Times New Roman" w:cs="Times New Roman"/>
          <w:color w:val="0D0D0D" w:themeColor="text1" w:themeTint="F2"/>
          <w:sz w:val="24"/>
          <w:szCs w:val="24"/>
        </w:rPr>
        <w:t xml:space="preserve"> total of 183.0 patient-years</w:t>
      </w:r>
      <w:r w:rsidRPr="00842FE5">
        <w:rPr>
          <w:rFonts w:ascii="Times New Roman" w:hAnsi="Times New Roman" w:cs="Times New Roman"/>
          <w:color w:val="0D0D0D" w:themeColor="text1" w:themeTint="F2"/>
          <w:sz w:val="24"/>
          <w:szCs w:val="24"/>
        </w:rPr>
        <w:t xml:space="preserve"> </w:t>
      </w:r>
      <w:r w:rsidR="00B0721B" w:rsidRPr="008E596D">
        <w:rPr>
          <w:rFonts w:ascii="Times New Roman" w:hAnsi="Times New Roman" w:cs="Times New Roman"/>
          <w:color w:val="0D0D0D" w:themeColor="text1" w:themeTint="F2"/>
          <w:sz w:val="24"/>
          <w:szCs w:val="24"/>
        </w:rPr>
        <w:t>during</w:t>
      </w:r>
      <w:r w:rsidR="00850297" w:rsidRPr="008E596D">
        <w:rPr>
          <w:rFonts w:ascii="Times New Roman" w:hAnsi="Times New Roman" w:cs="Times New Roman"/>
          <w:color w:val="0D0D0D" w:themeColor="text1" w:themeTint="F2"/>
          <w:sz w:val="24"/>
          <w:szCs w:val="24"/>
        </w:rPr>
        <w:t xml:space="preserve"> the 26-week </w:t>
      </w:r>
      <w:r w:rsidR="00B0721B" w:rsidRPr="008E596D">
        <w:rPr>
          <w:rFonts w:ascii="Times New Roman" w:hAnsi="Times New Roman" w:cs="Times New Roman"/>
          <w:color w:val="0D0D0D" w:themeColor="text1" w:themeTint="F2"/>
          <w:sz w:val="24"/>
          <w:szCs w:val="24"/>
        </w:rPr>
        <w:t xml:space="preserve">treatment </w:t>
      </w:r>
      <w:r w:rsidR="00850297" w:rsidRPr="008E596D">
        <w:rPr>
          <w:rFonts w:ascii="Times New Roman" w:hAnsi="Times New Roman" w:cs="Times New Roman"/>
          <w:color w:val="0D0D0D" w:themeColor="text1" w:themeTint="F2"/>
          <w:sz w:val="24"/>
          <w:szCs w:val="24"/>
        </w:rPr>
        <w:t>period</w:t>
      </w:r>
      <w:r w:rsidR="00945607" w:rsidRPr="008E596D">
        <w:rPr>
          <w:rFonts w:ascii="Times New Roman" w:hAnsi="Times New Roman" w:cs="Times New Roman"/>
          <w:color w:val="0D0D0D" w:themeColor="text1" w:themeTint="F2"/>
          <w:sz w:val="24"/>
          <w:szCs w:val="24"/>
        </w:rPr>
        <w:t xml:space="preserve">, </w:t>
      </w:r>
      <w:r w:rsidR="0066573E" w:rsidRPr="008E596D">
        <w:rPr>
          <w:rFonts w:ascii="Times New Roman" w:hAnsi="Times New Roman" w:cs="Times New Roman"/>
          <w:color w:val="0D0D0D" w:themeColor="text1" w:themeTint="F2"/>
          <w:sz w:val="24"/>
          <w:szCs w:val="24"/>
        </w:rPr>
        <w:t xml:space="preserve">few participants required </w:t>
      </w:r>
      <w:r w:rsidR="008804F9" w:rsidRPr="008E596D">
        <w:rPr>
          <w:rFonts w:ascii="Times New Roman" w:hAnsi="Times New Roman" w:cs="Times New Roman"/>
          <w:color w:val="0D0D0D" w:themeColor="text1" w:themeTint="F2"/>
          <w:sz w:val="24"/>
          <w:szCs w:val="24"/>
        </w:rPr>
        <w:t>HCRU</w:t>
      </w:r>
      <w:r w:rsidR="00945607" w:rsidRPr="008E596D">
        <w:rPr>
          <w:rFonts w:ascii="Times New Roman" w:hAnsi="Times New Roman" w:cs="Times New Roman"/>
          <w:color w:val="0D0D0D" w:themeColor="text1" w:themeTint="F2"/>
          <w:sz w:val="24"/>
          <w:szCs w:val="24"/>
        </w:rPr>
        <w:t xml:space="preserve"> with no in-</w:t>
      </w:r>
      <w:r w:rsidR="00465101" w:rsidRPr="008E596D">
        <w:rPr>
          <w:rFonts w:ascii="Times New Roman" w:hAnsi="Times New Roman" w:cs="Times New Roman"/>
          <w:color w:val="0D0D0D" w:themeColor="text1" w:themeTint="F2"/>
          <w:sz w:val="24"/>
          <w:szCs w:val="24"/>
        </w:rPr>
        <w:t>patie</w:t>
      </w:r>
      <w:r w:rsidR="004D619C" w:rsidRPr="008E596D">
        <w:rPr>
          <w:rFonts w:ascii="Times New Roman" w:hAnsi="Times New Roman" w:cs="Times New Roman"/>
          <w:color w:val="0D0D0D" w:themeColor="text1" w:themeTint="F2"/>
          <w:sz w:val="24"/>
          <w:szCs w:val="24"/>
        </w:rPr>
        <w:t xml:space="preserve">nt </w:t>
      </w:r>
      <w:r w:rsidR="00945607" w:rsidRPr="008E596D">
        <w:rPr>
          <w:rFonts w:ascii="Times New Roman" w:hAnsi="Times New Roman" w:cs="Times New Roman"/>
          <w:color w:val="0D0D0D" w:themeColor="text1" w:themeTint="F2"/>
          <w:sz w:val="24"/>
          <w:szCs w:val="24"/>
        </w:rPr>
        <w:t>hospitali</w:t>
      </w:r>
      <w:r w:rsidR="008E596D" w:rsidRPr="008E596D">
        <w:rPr>
          <w:rFonts w:ascii="Times New Roman" w:hAnsi="Times New Roman" w:cs="Times New Roman"/>
          <w:color w:val="0D0D0D" w:themeColor="text1" w:themeTint="F2"/>
          <w:sz w:val="24"/>
          <w:szCs w:val="24"/>
        </w:rPr>
        <w:t>s</w:t>
      </w:r>
      <w:r w:rsidR="00945607" w:rsidRPr="008E596D">
        <w:rPr>
          <w:rFonts w:ascii="Times New Roman" w:hAnsi="Times New Roman" w:cs="Times New Roman"/>
          <w:color w:val="0D0D0D" w:themeColor="text1" w:themeTint="F2"/>
          <w:sz w:val="24"/>
          <w:szCs w:val="24"/>
        </w:rPr>
        <w:t>ations</w:t>
      </w:r>
      <w:r w:rsidR="00F64723" w:rsidRPr="008E596D">
        <w:rPr>
          <w:rFonts w:ascii="Times New Roman" w:hAnsi="Times New Roman" w:cs="Times New Roman"/>
          <w:color w:val="0D0D0D" w:themeColor="text1" w:themeTint="F2"/>
          <w:sz w:val="24"/>
          <w:szCs w:val="24"/>
        </w:rPr>
        <w:t>,</w:t>
      </w:r>
      <w:r w:rsidR="00945607" w:rsidRPr="008E596D">
        <w:rPr>
          <w:rFonts w:ascii="Times New Roman" w:hAnsi="Times New Roman" w:cs="Times New Roman"/>
          <w:color w:val="0D0D0D" w:themeColor="text1" w:themeTint="F2"/>
          <w:sz w:val="24"/>
          <w:szCs w:val="24"/>
        </w:rPr>
        <w:t xml:space="preserve"> </w:t>
      </w:r>
      <w:r w:rsidR="00810BEF" w:rsidRPr="008E596D">
        <w:rPr>
          <w:rFonts w:ascii="Times New Roman" w:hAnsi="Times New Roman" w:cs="Times New Roman"/>
          <w:color w:val="0D0D0D" w:themeColor="text1" w:themeTint="F2"/>
          <w:sz w:val="24"/>
          <w:szCs w:val="24"/>
        </w:rPr>
        <w:t xml:space="preserve">three </w:t>
      </w:r>
      <w:r w:rsidR="00945607" w:rsidRPr="008E596D">
        <w:rPr>
          <w:rFonts w:ascii="Times New Roman" w:hAnsi="Times New Roman" w:cs="Times New Roman"/>
          <w:color w:val="0D0D0D" w:themeColor="text1" w:themeTint="F2"/>
          <w:sz w:val="24"/>
          <w:szCs w:val="24"/>
        </w:rPr>
        <w:t>emergency room visits (</w:t>
      </w:r>
      <w:r w:rsidR="00AC5D82" w:rsidRPr="008E596D">
        <w:rPr>
          <w:rFonts w:ascii="Times New Roman" w:hAnsi="Times New Roman" w:cs="Times New Roman"/>
          <w:color w:val="0D0D0D" w:themeColor="text1" w:themeTint="F2"/>
          <w:sz w:val="24"/>
          <w:szCs w:val="24"/>
        </w:rPr>
        <w:t>0.02 visits/patient-year</w:t>
      </w:r>
      <w:r w:rsidR="00945607" w:rsidRPr="008E596D">
        <w:rPr>
          <w:rFonts w:ascii="Times New Roman" w:hAnsi="Times New Roman" w:cs="Times New Roman"/>
          <w:color w:val="0D0D0D" w:themeColor="text1" w:themeTint="F2"/>
          <w:sz w:val="24"/>
          <w:szCs w:val="24"/>
        </w:rPr>
        <w:t>)</w:t>
      </w:r>
      <w:r w:rsidR="00F64723" w:rsidRPr="008E596D">
        <w:rPr>
          <w:rFonts w:ascii="Times New Roman" w:hAnsi="Times New Roman" w:cs="Times New Roman"/>
          <w:color w:val="0D0D0D" w:themeColor="text1" w:themeTint="F2"/>
          <w:sz w:val="24"/>
          <w:szCs w:val="24"/>
        </w:rPr>
        <w:t>,</w:t>
      </w:r>
      <w:r w:rsidR="00945607" w:rsidRPr="008E596D">
        <w:rPr>
          <w:rFonts w:ascii="Times New Roman" w:hAnsi="Times New Roman" w:cs="Times New Roman"/>
          <w:color w:val="0D0D0D" w:themeColor="text1" w:themeTint="F2"/>
          <w:sz w:val="24"/>
          <w:szCs w:val="24"/>
        </w:rPr>
        <w:t xml:space="preserve"> </w:t>
      </w:r>
      <w:r w:rsidR="00F64723" w:rsidRPr="008E596D">
        <w:rPr>
          <w:rFonts w:ascii="Times New Roman" w:hAnsi="Times New Roman" w:cs="Times New Roman"/>
          <w:color w:val="0D0D0D" w:themeColor="text1" w:themeTint="F2"/>
          <w:sz w:val="24"/>
          <w:szCs w:val="24"/>
        </w:rPr>
        <w:t>and</w:t>
      </w:r>
      <w:r w:rsidR="00945607" w:rsidRPr="008E596D">
        <w:rPr>
          <w:rFonts w:ascii="Times New Roman" w:hAnsi="Times New Roman" w:cs="Times New Roman"/>
          <w:color w:val="0D0D0D" w:themeColor="text1" w:themeTint="F2"/>
          <w:sz w:val="24"/>
          <w:szCs w:val="24"/>
        </w:rPr>
        <w:t xml:space="preserve"> </w:t>
      </w:r>
      <w:r w:rsidR="00F64723" w:rsidRPr="008E596D">
        <w:rPr>
          <w:rFonts w:ascii="Times New Roman" w:hAnsi="Times New Roman" w:cs="Times New Roman"/>
          <w:color w:val="0D0D0D" w:themeColor="text1" w:themeTint="F2"/>
          <w:sz w:val="24"/>
          <w:szCs w:val="24"/>
        </w:rPr>
        <w:t xml:space="preserve">17 </w:t>
      </w:r>
      <w:r w:rsidR="00945607" w:rsidRPr="008E596D">
        <w:rPr>
          <w:rFonts w:ascii="Times New Roman" w:hAnsi="Times New Roman" w:cs="Times New Roman"/>
          <w:color w:val="0D0D0D" w:themeColor="text1" w:themeTint="F2"/>
          <w:sz w:val="24"/>
          <w:szCs w:val="24"/>
        </w:rPr>
        <w:t>out-patient office or specialty visits (a total of 29 visits</w:t>
      </w:r>
      <w:r w:rsidR="00AC5D82" w:rsidRPr="008E596D">
        <w:rPr>
          <w:rFonts w:ascii="Times New Roman" w:hAnsi="Times New Roman" w:cs="Times New Roman"/>
          <w:color w:val="0D0D0D" w:themeColor="text1" w:themeTint="F2"/>
          <w:sz w:val="24"/>
          <w:szCs w:val="24"/>
        </w:rPr>
        <w:t>, 0.16 visits/patient-year</w:t>
      </w:r>
      <w:r w:rsidR="00945607" w:rsidRPr="008E596D">
        <w:rPr>
          <w:rFonts w:ascii="Times New Roman" w:hAnsi="Times New Roman" w:cs="Times New Roman"/>
          <w:color w:val="0D0D0D" w:themeColor="text1" w:themeTint="F2"/>
          <w:sz w:val="24"/>
          <w:szCs w:val="24"/>
        </w:rPr>
        <w:t>). No</w:t>
      </w:r>
      <w:r w:rsidR="0027024A" w:rsidRPr="008E596D">
        <w:rPr>
          <w:rFonts w:ascii="Times New Roman" w:hAnsi="Times New Roman" w:cs="Times New Roman"/>
          <w:color w:val="0D0D0D" w:themeColor="text1" w:themeTint="F2"/>
          <w:sz w:val="24"/>
          <w:szCs w:val="24"/>
        </w:rPr>
        <w:t xml:space="preserve">ne of the </w:t>
      </w:r>
      <w:r w:rsidR="00945607" w:rsidRPr="008E596D">
        <w:rPr>
          <w:rFonts w:ascii="Times New Roman" w:hAnsi="Times New Roman" w:cs="Times New Roman"/>
          <w:color w:val="0D0D0D" w:themeColor="text1" w:themeTint="F2"/>
          <w:sz w:val="24"/>
          <w:szCs w:val="24"/>
        </w:rPr>
        <w:t>reported HCRU was related to diabetes</w:t>
      </w:r>
      <w:r w:rsidR="00802FB5" w:rsidRPr="008E596D">
        <w:rPr>
          <w:rFonts w:ascii="Times New Roman" w:hAnsi="Times New Roman" w:cs="Times New Roman"/>
          <w:color w:val="0D0D0D" w:themeColor="text1" w:themeTint="F2"/>
          <w:sz w:val="24"/>
          <w:szCs w:val="24"/>
        </w:rPr>
        <w:t xml:space="preserve"> or hypoglycaemia</w:t>
      </w:r>
      <w:r w:rsidR="000701CD" w:rsidRPr="008E596D">
        <w:rPr>
          <w:rFonts w:ascii="Times New Roman" w:hAnsi="Times New Roman" w:cs="Times New Roman"/>
          <w:color w:val="0D0D0D" w:themeColor="text1" w:themeTint="F2"/>
          <w:sz w:val="24"/>
          <w:szCs w:val="24"/>
        </w:rPr>
        <w:t>.</w:t>
      </w:r>
      <w:r w:rsidR="009B02BA" w:rsidRPr="008E596D">
        <w:rPr>
          <w:rFonts w:ascii="Times New Roman" w:hAnsi="Times New Roman" w:cs="Times New Roman"/>
          <w:color w:val="0D0D0D" w:themeColor="text1" w:themeTint="F2"/>
          <w:sz w:val="24"/>
          <w:szCs w:val="24"/>
        </w:rPr>
        <w:t xml:space="preserve"> </w:t>
      </w:r>
    </w:p>
    <w:p w14:paraId="39616445" w14:textId="77777777" w:rsidR="00ED4A32" w:rsidRPr="00842FE5" w:rsidRDefault="006D4700" w:rsidP="003858C4">
      <w:pPr>
        <w:spacing w:line="480" w:lineRule="auto"/>
        <w:rPr>
          <w:rFonts w:ascii="Times New Roman" w:hAnsi="Times New Roman" w:cs="Times New Roman"/>
          <w:b/>
          <w:bCs/>
          <w:i/>
          <w:iCs/>
          <w:color w:val="0D0D0D" w:themeColor="text1" w:themeTint="F2"/>
          <w:sz w:val="24"/>
          <w:szCs w:val="24"/>
        </w:rPr>
      </w:pPr>
      <w:r w:rsidRPr="00842FE5">
        <w:rPr>
          <w:rFonts w:ascii="Times New Roman" w:hAnsi="Times New Roman" w:cs="Times New Roman"/>
          <w:b/>
          <w:bCs/>
          <w:i/>
          <w:iCs/>
          <w:color w:val="0D0D0D" w:themeColor="text1" w:themeTint="F2"/>
          <w:sz w:val="24"/>
          <w:szCs w:val="24"/>
        </w:rPr>
        <w:t xml:space="preserve">Safety </w:t>
      </w:r>
    </w:p>
    <w:p w14:paraId="192BE630" w14:textId="16D35FE4" w:rsidR="00441BD2" w:rsidRPr="00842FE5" w:rsidRDefault="000A4A2C" w:rsidP="003858C4">
      <w:pPr>
        <w:spacing w:line="480" w:lineRule="auto"/>
        <w:rPr>
          <w:rFonts w:ascii="Times New Roman" w:hAnsi="Times New Roman" w:cs="Times New Roman"/>
          <w:i/>
          <w:iCs/>
          <w:color w:val="0D0D0D" w:themeColor="text1" w:themeTint="F2"/>
          <w:sz w:val="24"/>
          <w:szCs w:val="24"/>
        </w:rPr>
      </w:pPr>
      <w:r w:rsidRPr="00842FE5">
        <w:rPr>
          <w:rFonts w:ascii="Times New Roman" w:hAnsi="Times New Roman" w:cs="Times New Roman"/>
          <w:i/>
          <w:iCs/>
          <w:color w:val="0D0D0D" w:themeColor="text1" w:themeTint="F2"/>
          <w:sz w:val="24"/>
          <w:szCs w:val="24"/>
        </w:rPr>
        <w:t>Hypoglyc</w:t>
      </w:r>
      <w:r w:rsidR="00AE495C" w:rsidRPr="00842FE5">
        <w:rPr>
          <w:rFonts w:ascii="Times New Roman" w:hAnsi="Times New Roman" w:cs="Times New Roman"/>
          <w:i/>
          <w:iCs/>
          <w:color w:val="0D0D0D" w:themeColor="text1" w:themeTint="F2"/>
          <w:sz w:val="24"/>
          <w:szCs w:val="24"/>
        </w:rPr>
        <w:t>a</w:t>
      </w:r>
      <w:r w:rsidRPr="00842FE5">
        <w:rPr>
          <w:rFonts w:ascii="Times New Roman" w:hAnsi="Times New Roman" w:cs="Times New Roman"/>
          <w:i/>
          <w:iCs/>
          <w:color w:val="0D0D0D" w:themeColor="text1" w:themeTint="F2"/>
          <w:sz w:val="24"/>
          <w:szCs w:val="24"/>
        </w:rPr>
        <w:t>emia</w:t>
      </w:r>
    </w:p>
    <w:p w14:paraId="52D4D57A" w14:textId="67C6CC6F" w:rsidR="00ED4A32" w:rsidRPr="00842FE5" w:rsidRDefault="00D93457" w:rsidP="003858C4">
      <w:pPr>
        <w:spacing w:line="480" w:lineRule="auto"/>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O</w:t>
      </w:r>
      <w:r w:rsidR="0089764B" w:rsidRPr="00842FE5">
        <w:rPr>
          <w:rFonts w:ascii="Times New Roman" w:hAnsi="Times New Roman" w:cs="Times New Roman"/>
          <w:color w:val="0D0D0D" w:themeColor="text1" w:themeTint="F2"/>
          <w:sz w:val="24"/>
          <w:szCs w:val="24"/>
        </w:rPr>
        <w:t>verall</w:t>
      </w:r>
      <w:r w:rsidRPr="00842FE5">
        <w:rPr>
          <w:rFonts w:ascii="Times New Roman" w:hAnsi="Times New Roman" w:cs="Times New Roman"/>
          <w:color w:val="0D0D0D" w:themeColor="text1" w:themeTint="F2"/>
          <w:sz w:val="24"/>
          <w:szCs w:val="24"/>
        </w:rPr>
        <w:t>,</w:t>
      </w:r>
      <w:r w:rsidR="0089764B" w:rsidRPr="00842FE5">
        <w:rPr>
          <w:rFonts w:ascii="Times New Roman" w:hAnsi="Times New Roman" w:cs="Times New Roman"/>
          <w:color w:val="0D0D0D" w:themeColor="text1" w:themeTint="F2"/>
          <w:sz w:val="24"/>
          <w:szCs w:val="24"/>
        </w:rPr>
        <w:t xml:space="preserve"> incidence of </w:t>
      </w:r>
      <w:r w:rsidRPr="00842FE5">
        <w:rPr>
          <w:rFonts w:ascii="Times New Roman" w:hAnsi="Times New Roman" w:cs="Times New Roman"/>
          <w:color w:val="0D0D0D" w:themeColor="text1" w:themeTint="F2"/>
          <w:sz w:val="24"/>
          <w:szCs w:val="24"/>
        </w:rPr>
        <w:t>treatment</w:t>
      </w:r>
      <w:r w:rsidR="00DB1F3D" w:rsidRPr="00842FE5">
        <w:rPr>
          <w:rFonts w:ascii="Times New Roman" w:hAnsi="Times New Roman" w:cs="Times New Roman"/>
          <w:color w:val="0D0D0D" w:themeColor="text1" w:themeTint="F2"/>
          <w:sz w:val="24"/>
          <w:szCs w:val="24"/>
        </w:rPr>
        <w:t xml:space="preserve">-emergent </w:t>
      </w:r>
      <w:r w:rsidR="0089764B" w:rsidRPr="00842FE5">
        <w:rPr>
          <w:rFonts w:ascii="Times New Roman" w:hAnsi="Times New Roman" w:cs="Times New Roman"/>
          <w:color w:val="0D0D0D" w:themeColor="text1" w:themeTint="F2"/>
          <w:sz w:val="24"/>
          <w:szCs w:val="24"/>
        </w:rPr>
        <w:t>hypoglyc</w:t>
      </w:r>
      <w:r w:rsidR="00AE495C" w:rsidRPr="00842FE5">
        <w:rPr>
          <w:rFonts w:ascii="Times New Roman" w:hAnsi="Times New Roman" w:cs="Times New Roman"/>
          <w:color w:val="0D0D0D" w:themeColor="text1" w:themeTint="F2"/>
          <w:sz w:val="24"/>
          <w:szCs w:val="24"/>
        </w:rPr>
        <w:t>a</w:t>
      </w:r>
      <w:r w:rsidR="0089764B" w:rsidRPr="00842FE5">
        <w:rPr>
          <w:rFonts w:ascii="Times New Roman" w:hAnsi="Times New Roman" w:cs="Times New Roman"/>
          <w:color w:val="0D0D0D" w:themeColor="text1" w:themeTint="F2"/>
          <w:sz w:val="24"/>
          <w:szCs w:val="24"/>
        </w:rPr>
        <w:t xml:space="preserve">emia was </w:t>
      </w:r>
      <w:r w:rsidRPr="00842FE5">
        <w:rPr>
          <w:rFonts w:ascii="Times New Roman" w:hAnsi="Times New Roman" w:cs="Times New Roman"/>
          <w:color w:val="0D0D0D" w:themeColor="text1" w:themeTint="F2"/>
          <w:sz w:val="24"/>
          <w:szCs w:val="24"/>
        </w:rPr>
        <w:t xml:space="preserve">reported in </w:t>
      </w:r>
      <w:r w:rsidR="0089764B" w:rsidRPr="00842FE5">
        <w:rPr>
          <w:rFonts w:ascii="Times New Roman" w:hAnsi="Times New Roman" w:cs="Times New Roman"/>
          <w:color w:val="0D0D0D" w:themeColor="text1" w:themeTint="F2"/>
          <w:sz w:val="24"/>
          <w:szCs w:val="24"/>
        </w:rPr>
        <w:t>76 (</w:t>
      </w:r>
      <w:r w:rsidR="0040117A" w:rsidRPr="00842FE5">
        <w:rPr>
          <w:rFonts w:ascii="Times New Roman" w:hAnsi="Times New Roman" w:cs="Times New Roman"/>
          <w:color w:val="0D0D0D" w:themeColor="text1" w:themeTint="F2"/>
          <w:sz w:val="24"/>
          <w:szCs w:val="24"/>
        </w:rPr>
        <w:t>20.4%</w:t>
      </w:r>
      <w:r w:rsidR="0089764B" w:rsidRPr="00842FE5">
        <w:rPr>
          <w:rFonts w:ascii="Times New Roman" w:hAnsi="Times New Roman" w:cs="Times New Roman"/>
          <w:color w:val="0D0D0D" w:themeColor="text1" w:themeTint="F2"/>
          <w:sz w:val="24"/>
          <w:szCs w:val="24"/>
        </w:rPr>
        <w:t>)</w:t>
      </w:r>
      <w:r w:rsidR="0040117A" w:rsidRPr="00842FE5">
        <w:rPr>
          <w:rFonts w:ascii="Times New Roman" w:hAnsi="Times New Roman" w:cs="Times New Roman"/>
          <w:color w:val="0D0D0D" w:themeColor="text1" w:themeTint="F2"/>
          <w:sz w:val="24"/>
          <w:szCs w:val="24"/>
        </w:rPr>
        <w:t xml:space="preserve"> p</w:t>
      </w:r>
      <w:r w:rsidR="000B4AC4" w:rsidRPr="00842FE5">
        <w:rPr>
          <w:rFonts w:ascii="Times New Roman" w:hAnsi="Times New Roman" w:cs="Times New Roman"/>
          <w:color w:val="0D0D0D" w:themeColor="text1" w:themeTint="F2"/>
          <w:sz w:val="24"/>
          <w:szCs w:val="24"/>
        </w:rPr>
        <w:t>articipants</w:t>
      </w:r>
      <w:r w:rsidR="002C516E" w:rsidRPr="00842FE5">
        <w:rPr>
          <w:rFonts w:ascii="Times New Roman" w:hAnsi="Times New Roman" w:cs="Times New Roman"/>
          <w:color w:val="0D0D0D" w:themeColor="text1" w:themeTint="F2"/>
          <w:sz w:val="24"/>
          <w:szCs w:val="24"/>
        </w:rPr>
        <w:t>;</w:t>
      </w:r>
      <w:r w:rsidR="00DB1F3D" w:rsidRPr="00842FE5">
        <w:rPr>
          <w:rFonts w:ascii="Times New Roman" w:hAnsi="Times New Roman" w:cs="Times New Roman"/>
          <w:color w:val="0D0D0D" w:themeColor="text1" w:themeTint="F2"/>
          <w:sz w:val="24"/>
          <w:szCs w:val="24"/>
        </w:rPr>
        <w:t xml:space="preserve"> </w:t>
      </w:r>
      <w:r w:rsidR="004B54D1" w:rsidRPr="00842FE5">
        <w:rPr>
          <w:rFonts w:ascii="Times New Roman" w:hAnsi="Times New Roman" w:cs="Times New Roman"/>
          <w:color w:val="0D0D0D" w:themeColor="text1" w:themeTint="F2"/>
          <w:sz w:val="24"/>
          <w:szCs w:val="24"/>
        </w:rPr>
        <w:t xml:space="preserve">of these </w:t>
      </w:r>
      <w:r w:rsidR="00DB1F3D" w:rsidRPr="00842FE5">
        <w:rPr>
          <w:rFonts w:ascii="Times New Roman" w:hAnsi="Times New Roman" w:cs="Times New Roman"/>
          <w:color w:val="0D0D0D" w:themeColor="text1" w:themeTint="F2"/>
          <w:sz w:val="24"/>
          <w:szCs w:val="24"/>
        </w:rPr>
        <w:t xml:space="preserve">35 (9.4%) </w:t>
      </w:r>
      <w:r w:rsidR="00B60E96" w:rsidRPr="00842FE5">
        <w:rPr>
          <w:rFonts w:ascii="Times New Roman" w:hAnsi="Times New Roman" w:cs="Times New Roman"/>
          <w:color w:val="0D0D0D" w:themeColor="text1" w:themeTint="F2"/>
          <w:sz w:val="24"/>
          <w:szCs w:val="24"/>
        </w:rPr>
        <w:t xml:space="preserve">participants </w:t>
      </w:r>
      <w:r w:rsidR="004B54D1" w:rsidRPr="00842FE5">
        <w:rPr>
          <w:rFonts w:ascii="Times New Roman" w:hAnsi="Times New Roman" w:cs="Times New Roman"/>
          <w:color w:val="0D0D0D" w:themeColor="text1" w:themeTint="F2"/>
          <w:sz w:val="24"/>
          <w:szCs w:val="24"/>
        </w:rPr>
        <w:t>had</w:t>
      </w:r>
      <w:r w:rsidR="00FD5102" w:rsidRPr="00842FE5">
        <w:rPr>
          <w:rFonts w:ascii="Times New Roman" w:hAnsi="Times New Roman" w:cs="Times New Roman"/>
          <w:color w:val="0D0D0D" w:themeColor="text1" w:themeTint="F2"/>
          <w:sz w:val="24"/>
          <w:szCs w:val="24"/>
        </w:rPr>
        <w:t xml:space="preserve"> </w:t>
      </w:r>
      <w:r w:rsidR="004B54D1" w:rsidRPr="00842FE5">
        <w:rPr>
          <w:rFonts w:ascii="Times New Roman" w:hAnsi="Times New Roman" w:cs="Times New Roman"/>
          <w:color w:val="0D0D0D" w:themeColor="text1" w:themeTint="F2"/>
          <w:sz w:val="24"/>
          <w:szCs w:val="24"/>
        </w:rPr>
        <w:t>nocturnal hypoglycaemia events</w:t>
      </w:r>
      <w:r w:rsidR="00D95952" w:rsidRPr="00842FE5">
        <w:rPr>
          <w:rFonts w:ascii="Times New Roman" w:hAnsi="Times New Roman" w:cs="Times New Roman"/>
          <w:color w:val="0D0D0D" w:themeColor="text1" w:themeTint="F2"/>
          <w:sz w:val="24"/>
          <w:szCs w:val="24"/>
        </w:rPr>
        <w:t>.</w:t>
      </w:r>
      <w:r w:rsidR="00DC3571" w:rsidRPr="00842FE5">
        <w:rPr>
          <w:rFonts w:ascii="Times New Roman" w:hAnsi="Times New Roman" w:cs="Times New Roman"/>
          <w:color w:val="0D0D0D" w:themeColor="text1" w:themeTint="F2"/>
          <w:sz w:val="24"/>
          <w:szCs w:val="24"/>
        </w:rPr>
        <w:t xml:space="preserve"> </w:t>
      </w:r>
      <w:r w:rsidR="00FE0C70" w:rsidRPr="00842FE5">
        <w:rPr>
          <w:rFonts w:ascii="Times New Roman" w:hAnsi="Times New Roman" w:cs="Times New Roman"/>
          <w:color w:val="0D0D0D" w:themeColor="text1" w:themeTint="F2"/>
          <w:sz w:val="24"/>
          <w:szCs w:val="24"/>
        </w:rPr>
        <w:t xml:space="preserve">The incidence of </w:t>
      </w:r>
      <w:r w:rsidR="0001115D" w:rsidRPr="00842FE5">
        <w:rPr>
          <w:rFonts w:ascii="Times New Roman" w:hAnsi="Times New Roman" w:cs="Times New Roman"/>
          <w:color w:val="0D0D0D" w:themeColor="text1" w:themeTint="F2"/>
          <w:sz w:val="24"/>
          <w:szCs w:val="24"/>
        </w:rPr>
        <w:t>documented symptomatic (blood glucose</w:t>
      </w:r>
      <w:r w:rsidR="00C16349" w:rsidRPr="00842FE5">
        <w:rPr>
          <w:rFonts w:ascii="Times New Roman" w:hAnsi="Times New Roman" w:cs="Times New Roman"/>
          <w:color w:val="0D0D0D" w:themeColor="text1" w:themeTint="F2"/>
          <w:sz w:val="24"/>
          <w:szCs w:val="24"/>
        </w:rPr>
        <w:t xml:space="preserve"> ≤3.9 mmol/L</w:t>
      </w:r>
      <w:r w:rsidR="00CE196D" w:rsidRPr="00842FE5">
        <w:rPr>
          <w:rFonts w:ascii="Times New Roman" w:hAnsi="Times New Roman" w:cs="Times New Roman"/>
          <w:color w:val="0D0D0D" w:themeColor="text1" w:themeTint="F2"/>
          <w:sz w:val="24"/>
          <w:szCs w:val="24"/>
        </w:rPr>
        <w:t>) hypoglyc</w:t>
      </w:r>
      <w:r w:rsidR="006A4B86" w:rsidRPr="00842FE5">
        <w:rPr>
          <w:rFonts w:ascii="Times New Roman" w:hAnsi="Times New Roman" w:cs="Times New Roman"/>
          <w:color w:val="0D0D0D" w:themeColor="text1" w:themeTint="F2"/>
          <w:sz w:val="24"/>
          <w:szCs w:val="24"/>
        </w:rPr>
        <w:t>a</w:t>
      </w:r>
      <w:r w:rsidR="00CE196D" w:rsidRPr="00842FE5">
        <w:rPr>
          <w:rFonts w:ascii="Times New Roman" w:hAnsi="Times New Roman" w:cs="Times New Roman"/>
          <w:color w:val="0D0D0D" w:themeColor="text1" w:themeTint="F2"/>
          <w:sz w:val="24"/>
          <w:szCs w:val="24"/>
        </w:rPr>
        <w:t>emia was</w:t>
      </w:r>
      <w:r w:rsidR="00216770" w:rsidRPr="00842FE5">
        <w:rPr>
          <w:rFonts w:ascii="Times New Roman" w:hAnsi="Times New Roman" w:cs="Times New Roman"/>
          <w:color w:val="0D0D0D" w:themeColor="text1" w:themeTint="F2"/>
          <w:sz w:val="24"/>
          <w:szCs w:val="24"/>
        </w:rPr>
        <w:t xml:space="preserve"> 12.6% for all hypoglyc</w:t>
      </w:r>
      <w:r w:rsidR="006A4B86" w:rsidRPr="00842FE5">
        <w:rPr>
          <w:rFonts w:ascii="Times New Roman" w:hAnsi="Times New Roman" w:cs="Times New Roman"/>
          <w:color w:val="0D0D0D" w:themeColor="text1" w:themeTint="F2"/>
          <w:sz w:val="24"/>
          <w:szCs w:val="24"/>
        </w:rPr>
        <w:t>a</w:t>
      </w:r>
      <w:r w:rsidR="00216770" w:rsidRPr="00842FE5">
        <w:rPr>
          <w:rFonts w:ascii="Times New Roman" w:hAnsi="Times New Roman" w:cs="Times New Roman"/>
          <w:color w:val="0D0D0D" w:themeColor="text1" w:themeTint="F2"/>
          <w:sz w:val="24"/>
          <w:szCs w:val="24"/>
        </w:rPr>
        <w:t xml:space="preserve">emia and </w:t>
      </w:r>
      <w:r w:rsidR="006A4B86" w:rsidRPr="00842FE5">
        <w:rPr>
          <w:rFonts w:ascii="Times New Roman" w:hAnsi="Times New Roman" w:cs="Times New Roman"/>
          <w:color w:val="0D0D0D" w:themeColor="text1" w:themeTint="F2"/>
          <w:sz w:val="24"/>
          <w:szCs w:val="24"/>
        </w:rPr>
        <w:t>5.9% for nocturnal hypoglycaemia</w:t>
      </w:r>
      <w:r w:rsidR="00421D3A" w:rsidRPr="00842FE5">
        <w:rPr>
          <w:rFonts w:ascii="Times New Roman" w:hAnsi="Times New Roman" w:cs="Times New Roman"/>
          <w:color w:val="0D0D0D" w:themeColor="text1" w:themeTint="F2"/>
          <w:sz w:val="24"/>
          <w:szCs w:val="24"/>
        </w:rPr>
        <w:t>. Similarly,</w:t>
      </w:r>
      <w:r w:rsidR="00C27392" w:rsidRPr="00842FE5">
        <w:rPr>
          <w:rFonts w:ascii="Times New Roman" w:hAnsi="Times New Roman" w:cs="Times New Roman"/>
          <w:color w:val="0D0D0D" w:themeColor="text1" w:themeTint="F2"/>
          <w:sz w:val="24"/>
          <w:szCs w:val="24"/>
        </w:rPr>
        <w:t xml:space="preserve"> the incidence of documented symptomatic</w:t>
      </w:r>
      <w:r w:rsidR="00421D3A" w:rsidRPr="00842FE5">
        <w:rPr>
          <w:rFonts w:ascii="Times New Roman" w:hAnsi="Times New Roman" w:cs="Times New Roman"/>
          <w:color w:val="0D0D0D" w:themeColor="text1" w:themeTint="F2"/>
          <w:sz w:val="24"/>
          <w:szCs w:val="24"/>
        </w:rPr>
        <w:t xml:space="preserve"> </w:t>
      </w:r>
      <w:r w:rsidR="00C27392" w:rsidRPr="00842FE5">
        <w:rPr>
          <w:rFonts w:ascii="Times New Roman" w:hAnsi="Times New Roman" w:cs="Times New Roman"/>
          <w:color w:val="0D0D0D" w:themeColor="text1" w:themeTint="F2"/>
          <w:sz w:val="24"/>
          <w:szCs w:val="24"/>
        </w:rPr>
        <w:t>(blood glucose ≤3.0 mmol/L)</w:t>
      </w:r>
      <w:r w:rsidR="00CE196D" w:rsidRPr="00842FE5">
        <w:rPr>
          <w:rFonts w:ascii="Times New Roman" w:hAnsi="Times New Roman" w:cs="Times New Roman"/>
          <w:color w:val="0D0D0D" w:themeColor="text1" w:themeTint="F2"/>
          <w:sz w:val="24"/>
          <w:szCs w:val="24"/>
        </w:rPr>
        <w:t xml:space="preserve"> </w:t>
      </w:r>
      <w:r w:rsidR="00E114FE" w:rsidRPr="00842FE5">
        <w:rPr>
          <w:rFonts w:ascii="Times New Roman" w:hAnsi="Times New Roman" w:cs="Times New Roman"/>
          <w:color w:val="0D0D0D" w:themeColor="text1" w:themeTint="F2"/>
          <w:sz w:val="24"/>
          <w:szCs w:val="24"/>
        </w:rPr>
        <w:t>was 3.8% for all hypoglyc</w:t>
      </w:r>
      <w:r w:rsidR="00595888" w:rsidRPr="00842FE5">
        <w:rPr>
          <w:rFonts w:ascii="Times New Roman" w:hAnsi="Times New Roman" w:cs="Times New Roman"/>
          <w:color w:val="0D0D0D" w:themeColor="text1" w:themeTint="F2"/>
          <w:sz w:val="24"/>
          <w:szCs w:val="24"/>
        </w:rPr>
        <w:t>a</w:t>
      </w:r>
      <w:r w:rsidR="00E114FE" w:rsidRPr="00842FE5">
        <w:rPr>
          <w:rFonts w:ascii="Times New Roman" w:hAnsi="Times New Roman" w:cs="Times New Roman"/>
          <w:color w:val="0D0D0D" w:themeColor="text1" w:themeTint="F2"/>
          <w:sz w:val="24"/>
          <w:szCs w:val="24"/>
        </w:rPr>
        <w:t>emia and 0.5% for nocturnal hypoglyc</w:t>
      </w:r>
      <w:r w:rsidR="00595888" w:rsidRPr="00842FE5">
        <w:rPr>
          <w:rFonts w:ascii="Times New Roman" w:hAnsi="Times New Roman" w:cs="Times New Roman"/>
          <w:color w:val="0D0D0D" w:themeColor="text1" w:themeTint="F2"/>
          <w:sz w:val="24"/>
          <w:szCs w:val="24"/>
        </w:rPr>
        <w:t>a</w:t>
      </w:r>
      <w:r w:rsidR="00E114FE" w:rsidRPr="00842FE5">
        <w:rPr>
          <w:rFonts w:ascii="Times New Roman" w:hAnsi="Times New Roman" w:cs="Times New Roman"/>
          <w:color w:val="0D0D0D" w:themeColor="text1" w:themeTint="F2"/>
          <w:sz w:val="24"/>
          <w:szCs w:val="24"/>
        </w:rPr>
        <w:t>emia.</w:t>
      </w:r>
      <w:r w:rsidR="00C16349" w:rsidRPr="00842FE5">
        <w:rPr>
          <w:rFonts w:ascii="Times New Roman" w:hAnsi="Times New Roman" w:cs="Times New Roman"/>
          <w:color w:val="0D0D0D" w:themeColor="text1" w:themeTint="F2"/>
          <w:sz w:val="24"/>
          <w:szCs w:val="24"/>
        </w:rPr>
        <w:t xml:space="preserve"> </w:t>
      </w:r>
      <w:r w:rsidR="00DC3571" w:rsidRPr="00842FE5">
        <w:rPr>
          <w:rFonts w:ascii="Times New Roman" w:hAnsi="Times New Roman" w:cs="Times New Roman"/>
          <w:color w:val="0D0D0D" w:themeColor="text1" w:themeTint="F2"/>
          <w:sz w:val="24"/>
          <w:szCs w:val="24"/>
        </w:rPr>
        <w:t>Severe hypoglyc</w:t>
      </w:r>
      <w:r w:rsidR="00AE495C" w:rsidRPr="00842FE5">
        <w:rPr>
          <w:rFonts w:ascii="Times New Roman" w:hAnsi="Times New Roman" w:cs="Times New Roman"/>
          <w:color w:val="0D0D0D" w:themeColor="text1" w:themeTint="F2"/>
          <w:sz w:val="24"/>
          <w:szCs w:val="24"/>
        </w:rPr>
        <w:t>a</w:t>
      </w:r>
      <w:r w:rsidR="00DC3571" w:rsidRPr="00842FE5">
        <w:rPr>
          <w:rFonts w:ascii="Times New Roman" w:hAnsi="Times New Roman" w:cs="Times New Roman"/>
          <w:color w:val="0D0D0D" w:themeColor="text1" w:themeTint="F2"/>
          <w:sz w:val="24"/>
          <w:szCs w:val="24"/>
        </w:rPr>
        <w:t xml:space="preserve">emia was reported </w:t>
      </w:r>
      <w:r w:rsidR="001C52DE" w:rsidRPr="00842FE5">
        <w:rPr>
          <w:rFonts w:ascii="Times New Roman" w:hAnsi="Times New Roman" w:cs="Times New Roman"/>
          <w:color w:val="0D0D0D" w:themeColor="text1" w:themeTint="F2"/>
          <w:sz w:val="24"/>
          <w:szCs w:val="24"/>
        </w:rPr>
        <w:t>in</w:t>
      </w:r>
      <w:r w:rsidR="00AE755B" w:rsidRPr="00842FE5">
        <w:rPr>
          <w:rFonts w:ascii="Times New Roman" w:hAnsi="Times New Roman" w:cs="Times New Roman"/>
          <w:color w:val="0D0D0D" w:themeColor="text1" w:themeTint="F2"/>
          <w:sz w:val="24"/>
          <w:szCs w:val="24"/>
        </w:rPr>
        <w:t xml:space="preserve"> </w:t>
      </w:r>
      <w:r w:rsidR="00E41387" w:rsidRPr="00842FE5">
        <w:rPr>
          <w:rFonts w:ascii="Times New Roman" w:hAnsi="Times New Roman" w:cs="Times New Roman"/>
          <w:color w:val="0D0D0D" w:themeColor="text1" w:themeTint="F2"/>
          <w:sz w:val="24"/>
          <w:szCs w:val="24"/>
        </w:rPr>
        <w:t xml:space="preserve">one </w:t>
      </w:r>
      <w:r w:rsidR="0040117A" w:rsidRPr="00842FE5">
        <w:rPr>
          <w:rFonts w:ascii="Times New Roman" w:hAnsi="Times New Roman" w:cs="Times New Roman"/>
          <w:color w:val="0D0D0D" w:themeColor="text1" w:themeTint="F2"/>
          <w:sz w:val="24"/>
          <w:szCs w:val="24"/>
        </w:rPr>
        <w:t>(0.3</w:t>
      </w:r>
      <w:r w:rsidR="000F6700" w:rsidRPr="00842FE5">
        <w:rPr>
          <w:rFonts w:ascii="Times New Roman" w:hAnsi="Times New Roman" w:cs="Times New Roman"/>
          <w:color w:val="0D0D0D" w:themeColor="text1" w:themeTint="F2"/>
          <w:sz w:val="24"/>
          <w:szCs w:val="24"/>
        </w:rPr>
        <w:t xml:space="preserve"> </w:t>
      </w:r>
      <w:r w:rsidR="0040117A" w:rsidRPr="00842FE5">
        <w:rPr>
          <w:rFonts w:ascii="Times New Roman" w:hAnsi="Times New Roman" w:cs="Times New Roman"/>
          <w:color w:val="0D0D0D" w:themeColor="text1" w:themeTint="F2"/>
          <w:sz w:val="24"/>
          <w:szCs w:val="24"/>
        </w:rPr>
        <w:t xml:space="preserve">%) </w:t>
      </w:r>
      <w:r w:rsidR="00CF693E" w:rsidRPr="00842FE5">
        <w:rPr>
          <w:rFonts w:ascii="Times New Roman" w:hAnsi="Times New Roman" w:cs="Times New Roman"/>
          <w:color w:val="0D0D0D" w:themeColor="text1" w:themeTint="F2"/>
          <w:sz w:val="24"/>
          <w:szCs w:val="24"/>
        </w:rPr>
        <w:t>participant,</w:t>
      </w:r>
      <w:r w:rsidR="00361271" w:rsidRPr="00842FE5">
        <w:rPr>
          <w:rFonts w:ascii="Times New Roman" w:hAnsi="Times New Roman" w:cs="Times New Roman"/>
          <w:color w:val="0D0D0D" w:themeColor="text1" w:themeTint="F2"/>
          <w:sz w:val="24"/>
          <w:szCs w:val="24"/>
        </w:rPr>
        <w:t xml:space="preserve"> </w:t>
      </w:r>
      <w:r w:rsidR="008974A5" w:rsidRPr="00842FE5">
        <w:rPr>
          <w:rFonts w:ascii="Times New Roman" w:hAnsi="Times New Roman" w:cs="Times New Roman"/>
          <w:color w:val="0D0D0D" w:themeColor="text1" w:themeTint="F2"/>
          <w:sz w:val="24"/>
          <w:szCs w:val="24"/>
        </w:rPr>
        <w:t xml:space="preserve">and </w:t>
      </w:r>
      <w:r w:rsidR="00361271" w:rsidRPr="00842FE5">
        <w:rPr>
          <w:rFonts w:ascii="Times New Roman" w:hAnsi="Times New Roman" w:cs="Times New Roman"/>
          <w:color w:val="0D0D0D" w:themeColor="text1" w:themeTint="F2"/>
          <w:sz w:val="24"/>
          <w:szCs w:val="24"/>
        </w:rPr>
        <w:t xml:space="preserve">this occurred </w:t>
      </w:r>
      <w:r w:rsidR="008974A5" w:rsidRPr="00842FE5">
        <w:rPr>
          <w:rFonts w:ascii="Times New Roman" w:hAnsi="Times New Roman" w:cs="Times New Roman"/>
          <w:color w:val="0D0D0D" w:themeColor="text1" w:themeTint="F2"/>
          <w:sz w:val="24"/>
          <w:szCs w:val="24"/>
        </w:rPr>
        <w:t>during night</w:t>
      </w:r>
      <w:r w:rsidR="001A7A15" w:rsidRPr="00842FE5">
        <w:rPr>
          <w:rFonts w:ascii="Times New Roman" w:hAnsi="Times New Roman" w:cs="Times New Roman"/>
          <w:color w:val="0D0D0D" w:themeColor="text1" w:themeTint="F2"/>
          <w:sz w:val="24"/>
          <w:szCs w:val="24"/>
        </w:rPr>
        <w:t>-</w:t>
      </w:r>
      <w:r w:rsidR="008974A5" w:rsidRPr="00842FE5">
        <w:rPr>
          <w:rFonts w:ascii="Times New Roman" w:hAnsi="Times New Roman" w:cs="Times New Roman"/>
          <w:color w:val="0D0D0D" w:themeColor="text1" w:themeTint="F2"/>
          <w:sz w:val="24"/>
          <w:szCs w:val="24"/>
        </w:rPr>
        <w:t xml:space="preserve">time </w:t>
      </w:r>
      <w:r w:rsidR="00C3798F" w:rsidRPr="00842FE5">
        <w:rPr>
          <w:rFonts w:ascii="Times New Roman" w:hAnsi="Times New Roman" w:cs="Times New Roman"/>
          <w:color w:val="0D0D0D" w:themeColor="text1" w:themeTint="F2"/>
          <w:sz w:val="24"/>
          <w:szCs w:val="24"/>
        </w:rPr>
        <w:t>(</w:t>
      </w:r>
      <w:r w:rsidR="00C3798F" w:rsidRPr="00842FE5">
        <w:rPr>
          <w:rFonts w:ascii="Times New Roman" w:hAnsi="Times New Roman" w:cs="Times New Roman"/>
          <w:b/>
          <w:bCs/>
          <w:color w:val="0D0D0D" w:themeColor="text1" w:themeTint="F2"/>
          <w:sz w:val="24"/>
          <w:szCs w:val="24"/>
        </w:rPr>
        <w:t xml:space="preserve">Table </w:t>
      </w:r>
      <w:r w:rsidR="00361271" w:rsidRPr="00842FE5">
        <w:rPr>
          <w:rFonts w:ascii="Times New Roman" w:hAnsi="Times New Roman" w:cs="Times New Roman"/>
          <w:b/>
          <w:bCs/>
          <w:color w:val="0D0D0D" w:themeColor="text1" w:themeTint="F2"/>
          <w:sz w:val="24"/>
          <w:szCs w:val="24"/>
        </w:rPr>
        <w:t>3</w:t>
      </w:r>
      <w:r w:rsidR="00C3798F" w:rsidRPr="00842FE5">
        <w:rPr>
          <w:rFonts w:ascii="Times New Roman" w:hAnsi="Times New Roman" w:cs="Times New Roman"/>
          <w:color w:val="0D0D0D" w:themeColor="text1" w:themeTint="F2"/>
          <w:sz w:val="24"/>
          <w:szCs w:val="24"/>
        </w:rPr>
        <w:t>)</w:t>
      </w:r>
      <w:r w:rsidR="00DF0F97" w:rsidRPr="00842FE5">
        <w:rPr>
          <w:rFonts w:ascii="Times New Roman" w:hAnsi="Times New Roman" w:cs="Times New Roman"/>
          <w:color w:val="0D0D0D" w:themeColor="text1" w:themeTint="F2"/>
          <w:sz w:val="24"/>
          <w:szCs w:val="24"/>
        </w:rPr>
        <w:t xml:space="preserve">. </w:t>
      </w:r>
    </w:p>
    <w:p w14:paraId="291295D8" w14:textId="000D5897" w:rsidR="00ED4A32" w:rsidRPr="00842FE5" w:rsidRDefault="00ED4A32" w:rsidP="003858C4">
      <w:pPr>
        <w:spacing w:line="480" w:lineRule="auto"/>
        <w:rPr>
          <w:rFonts w:ascii="Times New Roman" w:hAnsi="Times New Roman" w:cs="Times New Roman"/>
          <w:i/>
          <w:iCs/>
          <w:color w:val="0D0D0D" w:themeColor="text1" w:themeTint="F2"/>
          <w:sz w:val="24"/>
          <w:szCs w:val="24"/>
        </w:rPr>
      </w:pPr>
      <w:r w:rsidRPr="00842FE5">
        <w:rPr>
          <w:rFonts w:ascii="Times New Roman" w:hAnsi="Times New Roman" w:cs="Times New Roman"/>
          <w:i/>
          <w:iCs/>
          <w:color w:val="0D0D0D" w:themeColor="text1" w:themeTint="F2"/>
          <w:sz w:val="24"/>
          <w:szCs w:val="24"/>
        </w:rPr>
        <w:t>Adverse events</w:t>
      </w:r>
    </w:p>
    <w:p w14:paraId="57BEDFB4" w14:textId="0B7CD7CF" w:rsidR="003858C4" w:rsidRPr="00842FE5" w:rsidRDefault="00224AFA" w:rsidP="00B434D1">
      <w:pPr>
        <w:spacing w:line="480" w:lineRule="auto"/>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lastRenderedPageBreak/>
        <w:t>Treatment</w:t>
      </w:r>
      <w:r w:rsidR="00613A9A" w:rsidRPr="00842FE5">
        <w:rPr>
          <w:rFonts w:ascii="Times New Roman" w:hAnsi="Times New Roman" w:cs="Times New Roman"/>
          <w:color w:val="0D0D0D" w:themeColor="text1" w:themeTint="F2"/>
          <w:sz w:val="24"/>
          <w:szCs w:val="24"/>
        </w:rPr>
        <w:t>-</w:t>
      </w:r>
      <w:r w:rsidRPr="00842FE5">
        <w:rPr>
          <w:rFonts w:ascii="Times New Roman" w:hAnsi="Times New Roman" w:cs="Times New Roman"/>
          <w:color w:val="0D0D0D" w:themeColor="text1" w:themeTint="F2"/>
          <w:sz w:val="24"/>
          <w:szCs w:val="24"/>
        </w:rPr>
        <w:t>emergent adverse events (</w:t>
      </w:r>
      <w:r w:rsidR="0040117A" w:rsidRPr="00842FE5">
        <w:rPr>
          <w:rFonts w:ascii="Times New Roman" w:hAnsi="Times New Roman" w:cs="Times New Roman"/>
          <w:color w:val="0D0D0D" w:themeColor="text1" w:themeTint="F2"/>
          <w:sz w:val="24"/>
          <w:szCs w:val="24"/>
        </w:rPr>
        <w:t>TEAEs</w:t>
      </w:r>
      <w:r w:rsidRPr="00842FE5">
        <w:rPr>
          <w:rFonts w:ascii="Times New Roman" w:hAnsi="Times New Roman" w:cs="Times New Roman"/>
          <w:color w:val="0D0D0D" w:themeColor="text1" w:themeTint="F2"/>
          <w:sz w:val="24"/>
          <w:szCs w:val="24"/>
        </w:rPr>
        <w:t>)</w:t>
      </w:r>
      <w:r w:rsidR="0040117A" w:rsidRPr="00842FE5">
        <w:rPr>
          <w:rFonts w:ascii="Times New Roman" w:hAnsi="Times New Roman" w:cs="Times New Roman"/>
          <w:color w:val="0D0D0D" w:themeColor="text1" w:themeTint="F2"/>
          <w:sz w:val="24"/>
          <w:szCs w:val="24"/>
        </w:rPr>
        <w:t xml:space="preserve"> were reported in </w:t>
      </w:r>
      <w:r w:rsidR="00FF753E" w:rsidRPr="00842FE5">
        <w:rPr>
          <w:rFonts w:ascii="Times New Roman" w:hAnsi="Times New Roman" w:cs="Times New Roman"/>
          <w:color w:val="0D0D0D" w:themeColor="text1" w:themeTint="F2"/>
          <w:sz w:val="24"/>
          <w:szCs w:val="24"/>
        </w:rPr>
        <w:t>110 (</w:t>
      </w:r>
      <w:r w:rsidR="0040117A" w:rsidRPr="00842FE5">
        <w:rPr>
          <w:rFonts w:ascii="Times New Roman" w:hAnsi="Times New Roman" w:cs="Times New Roman"/>
          <w:color w:val="0D0D0D" w:themeColor="text1" w:themeTint="F2"/>
          <w:sz w:val="24"/>
          <w:szCs w:val="24"/>
        </w:rPr>
        <w:t>29.6%</w:t>
      </w:r>
      <w:r w:rsidR="00FF753E" w:rsidRPr="00842FE5">
        <w:rPr>
          <w:rFonts w:ascii="Times New Roman" w:hAnsi="Times New Roman" w:cs="Times New Roman"/>
          <w:color w:val="0D0D0D" w:themeColor="text1" w:themeTint="F2"/>
          <w:sz w:val="24"/>
          <w:szCs w:val="24"/>
        </w:rPr>
        <w:t>)</w:t>
      </w:r>
      <w:r w:rsidR="0040117A" w:rsidRPr="00842FE5">
        <w:rPr>
          <w:rFonts w:ascii="Times New Roman" w:hAnsi="Times New Roman" w:cs="Times New Roman"/>
          <w:color w:val="0D0D0D" w:themeColor="text1" w:themeTint="F2"/>
          <w:sz w:val="24"/>
          <w:szCs w:val="24"/>
        </w:rPr>
        <w:t xml:space="preserve"> participants; 15</w:t>
      </w:r>
      <w:r w:rsidR="00422C34" w:rsidRPr="00842FE5">
        <w:rPr>
          <w:rFonts w:ascii="Times New Roman" w:hAnsi="Times New Roman" w:cs="Times New Roman"/>
          <w:color w:val="0D0D0D" w:themeColor="text1" w:themeTint="F2"/>
          <w:sz w:val="24"/>
          <w:szCs w:val="24"/>
        </w:rPr>
        <w:t xml:space="preserve"> (4.0</w:t>
      </w:r>
      <w:r w:rsidR="00757094" w:rsidRPr="00842FE5">
        <w:rPr>
          <w:rFonts w:ascii="Times New Roman" w:hAnsi="Times New Roman" w:cs="Times New Roman"/>
          <w:color w:val="0D0D0D" w:themeColor="text1" w:themeTint="F2"/>
          <w:sz w:val="24"/>
          <w:szCs w:val="24"/>
        </w:rPr>
        <w:t>%</w:t>
      </w:r>
      <w:r w:rsidR="00422C34" w:rsidRPr="00842FE5">
        <w:rPr>
          <w:rFonts w:ascii="Times New Roman" w:hAnsi="Times New Roman" w:cs="Times New Roman"/>
          <w:color w:val="0D0D0D" w:themeColor="text1" w:themeTint="F2"/>
          <w:sz w:val="24"/>
          <w:szCs w:val="24"/>
        </w:rPr>
        <w:t>)</w:t>
      </w:r>
      <w:r w:rsidR="0040117A" w:rsidRPr="00842FE5">
        <w:rPr>
          <w:rFonts w:ascii="Times New Roman" w:hAnsi="Times New Roman" w:cs="Times New Roman"/>
          <w:color w:val="0D0D0D" w:themeColor="text1" w:themeTint="F2"/>
          <w:sz w:val="24"/>
          <w:szCs w:val="24"/>
        </w:rPr>
        <w:t xml:space="preserve"> participants had a </w:t>
      </w:r>
      <w:r w:rsidR="005212B1" w:rsidRPr="00842FE5">
        <w:rPr>
          <w:rFonts w:ascii="Times New Roman" w:hAnsi="Times New Roman" w:cs="Times New Roman"/>
          <w:color w:val="0D0D0D" w:themeColor="text1" w:themeTint="F2"/>
          <w:sz w:val="24"/>
          <w:szCs w:val="24"/>
        </w:rPr>
        <w:t>serious adverse even</w:t>
      </w:r>
      <w:r w:rsidR="00D02D86" w:rsidRPr="00842FE5">
        <w:rPr>
          <w:rFonts w:ascii="Times New Roman" w:hAnsi="Times New Roman" w:cs="Times New Roman"/>
          <w:color w:val="0D0D0D" w:themeColor="text1" w:themeTint="F2"/>
          <w:sz w:val="24"/>
          <w:szCs w:val="24"/>
        </w:rPr>
        <w:t>t</w:t>
      </w:r>
      <w:r w:rsidRPr="00842FE5">
        <w:rPr>
          <w:rFonts w:ascii="Times New Roman" w:hAnsi="Times New Roman" w:cs="Times New Roman"/>
          <w:color w:val="0D0D0D" w:themeColor="text1" w:themeTint="F2"/>
          <w:sz w:val="24"/>
          <w:szCs w:val="24"/>
        </w:rPr>
        <w:t>.</w:t>
      </w:r>
      <w:r w:rsidR="0040117A" w:rsidRPr="00842FE5">
        <w:rPr>
          <w:rFonts w:ascii="Times New Roman" w:hAnsi="Times New Roman" w:cs="Times New Roman"/>
          <w:color w:val="0D0D0D" w:themeColor="text1" w:themeTint="F2"/>
          <w:sz w:val="24"/>
          <w:szCs w:val="24"/>
        </w:rPr>
        <w:t xml:space="preserve"> </w:t>
      </w:r>
      <w:r w:rsidRPr="00842FE5">
        <w:rPr>
          <w:rFonts w:ascii="Times New Roman" w:hAnsi="Times New Roman" w:cs="Times New Roman"/>
          <w:color w:val="0D0D0D" w:themeColor="text1" w:themeTint="F2"/>
          <w:sz w:val="24"/>
          <w:szCs w:val="24"/>
        </w:rPr>
        <w:t>O</w:t>
      </w:r>
      <w:r w:rsidR="0040117A" w:rsidRPr="00842FE5">
        <w:rPr>
          <w:rFonts w:ascii="Times New Roman" w:hAnsi="Times New Roman" w:cs="Times New Roman"/>
          <w:color w:val="0D0D0D" w:themeColor="text1" w:themeTint="F2"/>
          <w:sz w:val="24"/>
          <w:szCs w:val="24"/>
        </w:rPr>
        <w:t xml:space="preserve">ne </w:t>
      </w:r>
      <w:r w:rsidR="00CE59A5" w:rsidRPr="00842FE5">
        <w:rPr>
          <w:rFonts w:ascii="Times New Roman" w:hAnsi="Times New Roman" w:cs="Times New Roman"/>
          <w:color w:val="0D0D0D" w:themeColor="text1" w:themeTint="F2"/>
          <w:sz w:val="24"/>
          <w:szCs w:val="24"/>
        </w:rPr>
        <w:t xml:space="preserve">serious </w:t>
      </w:r>
      <w:r w:rsidR="00D02D86" w:rsidRPr="00842FE5">
        <w:rPr>
          <w:rFonts w:ascii="Times New Roman" w:hAnsi="Times New Roman" w:cs="Times New Roman"/>
          <w:color w:val="0D0D0D" w:themeColor="text1" w:themeTint="F2"/>
          <w:sz w:val="24"/>
          <w:szCs w:val="24"/>
        </w:rPr>
        <w:t xml:space="preserve">TEAE </w:t>
      </w:r>
      <w:r w:rsidR="008B626C" w:rsidRPr="00842FE5">
        <w:rPr>
          <w:rFonts w:ascii="Times New Roman" w:hAnsi="Times New Roman" w:cs="Times New Roman"/>
          <w:color w:val="0D0D0D" w:themeColor="text1" w:themeTint="F2"/>
          <w:sz w:val="24"/>
          <w:szCs w:val="24"/>
        </w:rPr>
        <w:t xml:space="preserve">(cardiac arrest) </w:t>
      </w:r>
      <w:r w:rsidR="001A7A15" w:rsidRPr="00842FE5">
        <w:rPr>
          <w:rFonts w:ascii="Times New Roman" w:hAnsi="Times New Roman" w:cs="Times New Roman"/>
          <w:color w:val="0D0D0D" w:themeColor="text1" w:themeTint="F2"/>
          <w:sz w:val="24"/>
          <w:szCs w:val="24"/>
        </w:rPr>
        <w:t xml:space="preserve">led </w:t>
      </w:r>
      <w:r w:rsidR="000B6093" w:rsidRPr="00842FE5">
        <w:rPr>
          <w:rFonts w:ascii="Times New Roman" w:hAnsi="Times New Roman" w:cs="Times New Roman"/>
          <w:color w:val="0D0D0D" w:themeColor="text1" w:themeTint="F2"/>
          <w:sz w:val="24"/>
          <w:szCs w:val="24"/>
        </w:rPr>
        <w:t>to</w:t>
      </w:r>
      <w:r w:rsidR="008B626C">
        <w:rPr>
          <w:rFonts w:ascii="Times New Roman" w:hAnsi="Times New Roman" w:cs="Times New Roman"/>
          <w:color w:val="0D0D0D" w:themeColor="text1" w:themeTint="F2"/>
          <w:sz w:val="24"/>
          <w:szCs w:val="24"/>
        </w:rPr>
        <w:t xml:space="preserve"> </w:t>
      </w:r>
      <w:r w:rsidR="0040117A" w:rsidRPr="00842FE5">
        <w:rPr>
          <w:rFonts w:ascii="Times New Roman" w:hAnsi="Times New Roman" w:cs="Times New Roman"/>
          <w:color w:val="0D0D0D" w:themeColor="text1" w:themeTint="F2"/>
          <w:sz w:val="24"/>
          <w:szCs w:val="24"/>
        </w:rPr>
        <w:t>death during the study</w:t>
      </w:r>
      <w:r w:rsidR="00A51D32" w:rsidRPr="00842FE5">
        <w:rPr>
          <w:rFonts w:ascii="Times New Roman" w:hAnsi="Times New Roman" w:cs="Times New Roman"/>
          <w:color w:val="0D0D0D" w:themeColor="text1" w:themeTint="F2"/>
          <w:sz w:val="24"/>
          <w:szCs w:val="24"/>
        </w:rPr>
        <w:t>,</w:t>
      </w:r>
      <w:r w:rsidR="002F45E2" w:rsidRPr="00842FE5">
        <w:rPr>
          <w:rFonts w:ascii="Times New Roman" w:hAnsi="Times New Roman" w:cs="Times New Roman"/>
          <w:color w:val="0D0D0D" w:themeColor="text1" w:themeTint="F2"/>
          <w:sz w:val="24"/>
          <w:szCs w:val="24"/>
        </w:rPr>
        <w:t xml:space="preserve"> which was not related to the study drug</w:t>
      </w:r>
      <w:r w:rsidR="00BD6C71" w:rsidRPr="00842FE5">
        <w:rPr>
          <w:rFonts w:ascii="Times New Roman" w:hAnsi="Times New Roman" w:cs="Times New Roman"/>
          <w:color w:val="0D0D0D" w:themeColor="text1" w:themeTint="F2"/>
          <w:sz w:val="24"/>
          <w:szCs w:val="24"/>
        </w:rPr>
        <w:t>.</w:t>
      </w:r>
      <w:r w:rsidR="00553B38" w:rsidRPr="00842FE5">
        <w:rPr>
          <w:rFonts w:ascii="Times New Roman" w:hAnsi="Times New Roman" w:cs="Times New Roman"/>
          <w:color w:val="0D0D0D" w:themeColor="text1" w:themeTint="F2"/>
          <w:sz w:val="24"/>
          <w:szCs w:val="24"/>
        </w:rPr>
        <w:t xml:space="preserve"> </w:t>
      </w:r>
      <w:r w:rsidR="00B434D1" w:rsidRPr="00842FE5">
        <w:rPr>
          <w:rFonts w:ascii="Times New Roman" w:hAnsi="Times New Roman" w:cs="Times New Roman"/>
          <w:color w:val="0D0D0D" w:themeColor="text1" w:themeTint="F2"/>
          <w:sz w:val="24"/>
          <w:szCs w:val="24"/>
        </w:rPr>
        <w:t xml:space="preserve">The most frequently reported TEAEs were </w:t>
      </w:r>
      <w:r w:rsidR="0088032C" w:rsidRPr="00842FE5">
        <w:rPr>
          <w:rFonts w:ascii="Times New Roman" w:hAnsi="Times New Roman" w:cs="Times New Roman"/>
          <w:color w:val="0D0D0D" w:themeColor="text1" w:themeTint="F2"/>
          <w:sz w:val="24"/>
          <w:szCs w:val="24"/>
        </w:rPr>
        <w:t>i</w:t>
      </w:r>
      <w:r w:rsidR="00B434D1" w:rsidRPr="00842FE5">
        <w:rPr>
          <w:rFonts w:ascii="Times New Roman" w:hAnsi="Times New Roman" w:cs="Times New Roman"/>
          <w:color w:val="0D0D0D" w:themeColor="text1" w:themeTint="F2"/>
          <w:sz w:val="24"/>
          <w:szCs w:val="24"/>
        </w:rPr>
        <w:t xml:space="preserve">nfections and infestations in 45 (12.1%) </w:t>
      </w:r>
      <w:r w:rsidR="0088032C" w:rsidRPr="00842FE5">
        <w:rPr>
          <w:rFonts w:ascii="Times New Roman" w:hAnsi="Times New Roman" w:cs="Times New Roman"/>
          <w:color w:val="0D0D0D" w:themeColor="text1" w:themeTint="F2"/>
          <w:sz w:val="24"/>
          <w:szCs w:val="24"/>
        </w:rPr>
        <w:t>participants and</w:t>
      </w:r>
      <w:r w:rsidR="00B434D1" w:rsidRPr="00842FE5">
        <w:rPr>
          <w:rFonts w:ascii="Times New Roman" w:hAnsi="Times New Roman" w:cs="Times New Roman"/>
          <w:color w:val="0D0D0D" w:themeColor="text1" w:themeTint="F2"/>
          <w:sz w:val="24"/>
          <w:szCs w:val="24"/>
        </w:rPr>
        <w:t xml:space="preserve"> </w:t>
      </w:r>
      <w:r w:rsidR="0088032C" w:rsidRPr="00842FE5">
        <w:rPr>
          <w:rFonts w:ascii="Times New Roman" w:hAnsi="Times New Roman" w:cs="Times New Roman"/>
          <w:color w:val="0D0D0D" w:themeColor="text1" w:themeTint="F2"/>
          <w:sz w:val="24"/>
          <w:szCs w:val="24"/>
        </w:rPr>
        <w:t>g</w:t>
      </w:r>
      <w:r w:rsidR="00B434D1" w:rsidRPr="00842FE5">
        <w:rPr>
          <w:rFonts w:ascii="Times New Roman" w:hAnsi="Times New Roman" w:cs="Times New Roman"/>
          <w:color w:val="0D0D0D" w:themeColor="text1" w:themeTint="F2"/>
          <w:sz w:val="24"/>
          <w:szCs w:val="24"/>
        </w:rPr>
        <w:t>astrointestinal disorders in 16 (4.3%) pa</w:t>
      </w:r>
      <w:r w:rsidR="0088032C" w:rsidRPr="00842FE5">
        <w:rPr>
          <w:rFonts w:ascii="Times New Roman" w:hAnsi="Times New Roman" w:cs="Times New Roman"/>
          <w:color w:val="0D0D0D" w:themeColor="text1" w:themeTint="F2"/>
          <w:sz w:val="24"/>
          <w:szCs w:val="24"/>
        </w:rPr>
        <w:t>rticipants</w:t>
      </w:r>
      <w:r w:rsidR="00B434D1" w:rsidRPr="00842FE5">
        <w:rPr>
          <w:rFonts w:ascii="Times New Roman" w:hAnsi="Times New Roman" w:cs="Times New Roman"/>
          <w:color w:val="0D0D0D" w:themeColor="text1" w:themeTint="F2"/>
          <w:sz w:val="24"/>
          <w:szCs w:val="24"/>
        </w:rPr>
        <w:t xml:space="preserve">. </w:t>
      </w:r>
      <w:r w:rsidR="00F51DF2" w:rsidRPr="00842FE5">
        <w:rPr>
          <w:rFonts w:ascii="Times New Roman" w:hAnsi="Times New Roman" w:cs="Times New Roman"/>
          <w:color w:val="0D0D0D" w:themeColor="text1" w:themeTint="F2"/>
          <w:sz w:val="24"/>
          <w:szCs w:val="24"/>
        </w:rPr>
        <w:t>T</w:t>
      </w:r>
      <w:r w:rsidR="00D449D7" w:rsidRPr="00842FE5">
        <w:rPr>
          <w:rFonts w:ascii="Times New Roman" w:hAnsi="Times New Roman" w:cs="Times New Roman"/>
          <w:color w:val="0D0D0D" w:themeColor="text1" w:themeTint="F2"/>
          <w:sz w:val="24"/>
          <w:szCs w:val="24"/>
        </w:rPr>
        <w:t xml:space="preserve">reatment discontinuations </w:t>
      </w:r>
      <w:r w:rsidR="00F51DF2" w:rsidRPr="00842FE5">
        <w:rPr>
          <w:rFonts w:ascii="Times New Roman" w:hAnsi="Times New Roman" w:cs="Times New Roman"/>
          <w:color w:val="0D0D0D" w:themeColor="text1" w:themeTint="F2"/>
          <w:sz w:val="24"/>
          <w:szCs w:val="24"/>
        </w:rPr>
        <w:t>due t</w:t>
      </w:r>
      <w:r w:rsidR="00E90563" w:rsidRPr="00842FE5">
        <w:rPr>
          <w:rFonts w:ascii="Times New Roman" w:hAnsi="Times New Roman" w:cs="Times New Roman"/>
          <w:color w:val="0D0D0D" w:themeColor="text1" w:themeTint="F2"/>
          <w:sz w:val="24"/>
          <w:szCs w:val="24"/>
        </w:rPr>
        <w:t xml:space="preserve">o TEAEs </w:t>
      </w:r>
      <w:r w:rsidR="00D449D7" w:rsidRPr="00842FE5">
        <w:rPr>
          <w:rFonts w:ascii="Times New Roman" w:hAnsi="Times New Roman" w:cs="Times New Roman"/>
          <w:color w:val="0D0D0D" w:themeColor="text1" w:themeTint="F2"/>
          <w:sz w:val="24"/>
          <w:szCs w:val="24"/>
        </w:rPr>
        <w:t xml:space="preserve">were </w:t>
      </w:r>
      <w:r w:rsidR="000F6700" w:rsidRPr="00842FE5">
        <w:rPr>
          <w:rFonts w:ascii="Times New Roman" w:hAnsi="Times New Roman" w:cs="Times New Roman"/>
          <w:color w:val="0D0D0D" w:themeColor="text1" w:themeTint="F2"/>
          <w:sz w:val="24"/>
          <w:szCs w:val="24"/>
        </w:rPr>
        <w:t xml:space="preserve">reported in 4 (1.1%) participants. </w:t>
      </w:r>
      <w:r w:rsidR="00553B38" w:rsidRPr="00842FE5">
        <w:rPr>
          <w:rFonts w:ascii="Times New Roman" w:hAnsi="Times New Roman" w:cs="Times New Roman"/>
          <w:color w:val="0D0D0D" w:themeColor="text1" w:themeTint="F2"/>
          <w:sz w:val="24"/>
          <w:szCs w:val="24"/>
        </w:rPr>
        <w:t>T</w:t>
      </w:r>
      <w:r w:rsidR="00D752D7" w:rsidRPr="00842FE5">
        <w:rPr>
          <w:rFonts w:ascii="Times New Roman" w:hAnsi="Times New Roman" w:cs="Times New Roman"/>
          <w:color w:val="0D0D0D" w:themeColor="text1" w:themeTint="F2"/>
          <w:sz w:val="24"/>
          <w:szCs w:val="24"/>
        </w:rPr>
        <w:t>EAE</w:t>
      </w:r>
      <w:r w:rsidR="00613A9A" w:rsidRPr="00842FE5">
        <w:rPr>
          <w:rFonts w:ascii="Times New Roman" w:hAnsi="Times New Roman" w:cs="Times New Roman"/>
          <w:color w:val="0D0D0D" w:themeColor="text1" w:themeTint="F2"/>
          <w:sz w:val="24"/>
          <w:szCs w:val="24"/>
        </w:rPr>
        <w:t>s</w:t>
      </w:r>
      <w:r w:rsidR="00D752D7" w:rsidRPr="00842FE5">
        <w:rPr>
          <w:rFonts w:ascii="Times New Roman" w:hAnsi="Times New Roman" w:cs="Times New Roman"/>
          <w:color w:val="0D0D0D" w:themeColor="text1" w:themeTint="F2"/>
          <w:sz w:val="24"/>
          <w:szCs w:val="24"/>
        </w:rPr>
        <w:t xml:space="preserve"> related to COVID</w:t>
      </w:r>
      <w:r w:rsidR="00553B38" w:rsidRPr="00842FE5">
        <w:rPr>
          <w:rFonts w:ascii="Times New Roman" w:hAnsi="Times New Roman" w:cs="Times New Roman"/>
          <w:color w:val="0D0D0D" w:themeColor="text1" w:themeTint="F2"/>
          <w:sz w:val="24"/>
          <w:szCs w:val="24"/>
        </w:rPr>
        <w:t>-19</w:t>
      </w:r>
      <w:r w:rsidR="00D752D7" w:rsidRPr="00842FE5">
        <w:rPr>
          <w:rFonts w:ascii="Times New Roman" w:hAnsi="Times New Roman" w:cs="Times New Roman"/>
          <w:color w:val="0D0D0D" w:themeColor="text1" w:themeTint="F2"/>
          <w:sz w:val="24"/>
          <w:szCs w:val="24"/>
        </w:rPr>
        <w:t xml:space="preserve"> infection </w:t>
      </w:r>
      <w:r w:rsidR="005D5B2E" w:rsidRPr="00842FE5">
        <w:rPr>
          <w:rFonts w:ascii="Times New Roman" w:hAnsi="Times New Roman" w:cs="Times New Roman"/>
          <w:color w:val="0D0D0D" w:themeColor="text1" w:themeTint="F2"/>
          <w:sz w:val="24"/>
          <w:szCs w:val="24"/>
        </w:rPr>
        <w:t>were reported in 5 (1.3%) participants</w:t>
      </w:r>
      <w:r w:rsidR="005E16D7" w:rsidRPr="00842FE5">
        <w:rPr>
          <w:rFonts w:ascii="Times New Roman" w:hAnsi="Times New Roman" w:cs="Times New Roman"/>
          <w:color w:val="0D0D0D" w:themeColor="text1" w:themeTint="F2"/>
          <w:sz w:val="24"/>
          <w:szCs w:val="24"/>
        </w:rPr>
        <w:t>.</w:t>
      </w:r>
      <w:r w:rsidR="00553B38" w:rsidRPr="00842FE5">
        <w:rPr>
          <w:rFonts w:ascii="Times New Roman" w:hAnsi="Times New Roman" w:cs="Times New Roman"/>
          <w:color w:val="0D0D0D" w:themeColor="text1" w:themeTint="F2"/>
          <w:sz w:val="24"/>
          <w:szCs w:val="24"/>
        </w:rPr>
        <w:t xml:space="preserve"> </w:t>
      </w:r>
    </w:p>
    <w:p w14:paraId="68230FE3" w14:textId="216917B3" w:rsidR="00D26DD9" w:rsidRPr="00842FE5" w:rsidRDefault="00E334AB" w:rsidP="003858C4">
      <w:pPr>
        <w:spacing w:line="480" w:lineRule="auto"/>
        <w:rPr>
          <w:rFonts w:ascii="Times New Roman" w:hAnsi="Times New Roman" w:cs="Times New Roman"/>
          <w:color w:val="0D0D0D" w:themeColor="text1" w:themeTint="F2"/>
          <w:sz w:val="24"/>
          <w:szCs w:val="24"/>
        </w:rPr>
      </w:pPr>
      <w:r w:rsidRPr="00842FE5">
        <w:rPr>
          <w:rFonts w:ascii="Times New Roman" w:hAnsi="Times New Roman" w:cs="Times New Roman"/>
          <w:b/>
          <w:bCs/>
          <w:color w:val="0D0D0D" w:themeColor="text1" w:themeTint="F2"/>
          <w:sz w:val="24"/>
          <w:szCs w:val="24"/>
        </w:rPr>
        <w:t>Discussion</w:t>
      </w:r>
    </w:p>
    <w:p w14:paraId="25CAD234" w14:textId="45468D99" w:rsidR="00174264" w:rsidRPr="00842FE5" w:rsidRDefault="007A433C" w:rsidP="003858C4">
      <w:pPr>
        <w:tabs>
          <w:tab w:val="left" w:pos="709"/>
        </w:tabs>
        <w:spacing w:line="480" w:lineRule="auto"/>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 xml:space="preserve">The </w:t>
      </w:r>
      <w:r w:rsidR="002B0797" w:rsidRPr="00842FE5">
        <w:rPr>
          <w:rFonts w:ascii="Times New Roman" w:hAnsi="Times New Roman" w:cs="Times New Roman"/>
          <w:color w:val="0D0D0D" w:themeColor="text1" w:themeTint="F2"/>
          <w:sz w:val="24"/>
          <w:szCs w:val="24"/>
        </w:rPr>
        <w:t xml:space="preserve">ARTEMIS-DM study </w:t>
      </w:r>
      <w:r w:rsidR="00174264" w:rsidRPr="00842FE5">
        <w:rPr>
          <w:rFonts w:ascii="Times New Roman" w:hAnsi="Times New Roman" w:cs="Times New Roman"/>
          <w:color w:val="0D0D0D" w:themeColor="text1" w:themeTint="F2"/>
          <w:sz w:val="24"/>
          <w:szCs w:val="24"/>
        </w:rPr>
        <w:t xml:space="preserve">enrolled </w:t>
      </w:r>
      <w:r w:rsidR="002B0797" w:rsidRPr="00842FE5">
        <w:rPr>
          <w:rFonts w:ascii="Times New Roman" w:hAnsi="Times New Roman" w:cs="Times New Roman"/>
          <w:color w:val="0D0D0D" w:themeColor="text1" w:themeTint="F2"/>
          <w:sz w:val="24"/>
          <w:szCs w:val="24"/>
        </w:rPr>
        <w:t xml:space="preserve">participants </w:t>
      </w:r>
      <w:r w:rsidR="00174264" w:rsidRPr="00842FE5">
        <w:rPr>
          <w:rFonts w:ascii="Times New Roman" w:hAnsi="Times New Roman" w:cs="Times New Roman"/>
          <w:color w:val="0D0D0D" w:themeColor="text1" w:themeTint="F2"/>
          <w:sz w:val="24"/>
          <w:szCs w:val="24"/>
        </w:rPr>
        <w:t>from regions with previously limited participation in the Gla-300 clinical development program</w:t>
      </w:r>
      <w:r w:rsidR="00A51D32" w:rsidRPr="00842FE5">
        <w:rPr>
          <w:rFonts w:ascii="Times New Roman" w:hAnsi="Times New Roman" w:cs="Times New Roman"/>
          <w:color w:val="0D0D0D" w:themeColor="text1" w:themeTint="F2"/>
          <w:sz w:val="24"/>
          <w:szCs w:val="24"/>
        </w:rPr>
        <w:t>me</w:t>
      </w:r>
      <w:r w:rsidR="00174264" w:rsidRPr="00842FE5">
        <w:rPr>
          <w:rFonts w:ascii="Times New Roman" w:hAnsi="Times New Roman" w:cs="Times New Roman"/>
          <w:color w:val="0D0D0D" w:themeColor="text1" w:themeTint="F2"/>
          <w:sz w:val="24"/>
          <w:szCs w:val="24"/>
        </w:rPr>
        <w:t xml:space="preserve"> (Asia, Middle</w:t>
      </w:r>
      <w:r w:rsidR="007774FE" w:rsidRPr="00842FE5">
        <w:rPr>
          <w:rFonts w:ascii="Times New Roman" w:hAnsi="Times New Roman" w:cs="Times New Roman"/>
          <w:color w:val="0D0D0D" w:themeColor="text1" w:themeTint="F2"/>
          <w:sz w:val="24"/>
          <w:szCs w:val="24"/>
        </w:rPr>
        <w:t>-</w:t>
      </w:r>
      <w:r w:rsidR="00174264" w:rsidRPr="00842FE5">
        <w:rPr>
          <w:rFonts w:ascii="Times New Roman" w:hAnsi="Times New Roman" w:cs="Times New Roman"/>
          <w:color w:val="0D0D0D" w:themeColor="text1" w:themeTint="F2"/>
          <w:sz w:val="24"/>
          <w:szCs w:val="24"/>
        </w:rPr>
        <w:t>East Africa</w:t>
      </w:r>
      <w:r w:rsidR="007774FE" w:rsidRPr="00842FE5">
        <w:rPr>
          <w:rFonts w:ascii="Times New Roman" w:hAnsi="Times New Roman" w:cs="Times New Roman"/>
          <w:color w:val="0D0D0D" w:themeColor="text1" w:themeTint="F2"/>
          <w:sz w:val="24"/>
          <w:szCs w:val="24"/>
        </w:rPr>
        <w:t xml:space="preserve"> and </w:t>
      </w:r>
      <w:r w:rsidR="0072738E" w:rsidRPr="00842FE5">
        <w:rPr>
          <w:rFonts w:ascii="Times New Roman" w:hAnsi="Times New Roman" w:cs="Times New Roman"/>
          <w:color w:val="0D0D0D" w:themeColor="text1" w:themeTint="F2"/>
          <w:sz w:val="24"/>
          <w:szCs w:val="24"/>
        </w:rPr>
        <w:t>Latin America</w:t>
      </w:r>
      <w:r w:rsidR="007774FE" w:rsidRPr="00842FE5">
        <w:rPr>
          <w:rFonts w:ascii="Times New Roman" w:hAnsi="Times New Roman" w:cs="Times New Roman"/>
          <w:color w:val="0D0D0D" w:themeColor="text1" w:themeTint="F2"/>
          <w:sz w:val="24"/>
          <w:szCs w:val="24"/>
        </w:rPr>
        <w:t>)</w:t>
      </w:r>
      <w:r w:rsidR="00174264" w:rsidRPr="00842FE5">
        <w:rPr>
          <w:rFonts w:ascii="Times New Roman" w:hAnsi="Times New Roman" w:cs="Times New Roman"/>
          <w:color w:val="0D0D0D" w:themeColor="text1" w:themeTint="F2"/>
          <w:sz w:val="24"/>
          <w:szCs w:val="24"/>
        </w:rPr>
        <w:t xml:space="preserve"> to address </w:t>
      </w:r>
      <w:r w:rsidR="00CD4C78" w:rsidRPr="00842FE5">
        <w:rPr>
          <w:rFonts w:ascii="Times New Roman" w:hAnsi="Times New Roman" w:cs="Times New Roman"/>
          <w:color w:val="0D0D0D" w:themeColor="text1" w:themeTint="F2"/>
          <w:sz w:val="24"/>
          <w:szCs w:val="24"/>
        </w:rPr>
        <w:t xml:space="preserve">evidence </w:t>
      </w:r>
      <w:r w:rsidR="00174264" w:rsidRPr="00842FE5">
        <w:rPr>
          <w:rFonts w:ascii="Times New Roman" w:hAnsi="Times New Roman" w:cs="Times New Roman"/>
          <w:color w:val="0D0D0D" w:themeColor="text1" w:themeTint="F2"/>
          <w:sz w:val="24"/>
          <w:szCs w:val="24"/>
        </w:rPr>
        <w:t xml:space="preserve">gaps regarding the efficacy and safety of Gla-300 in </w:t>
      </w:r>
      <w:r w:rsidR="00F9686E" w:rsidRPr="00842FE5">
        <w:rPr>
          <w:rFonts w:ascii="Times New Roman" w:hAnsi="Times New Roman" w:cs="Times New Roman"/>
          <w:color w:val="0D0D0D" w:themeColor="text1" w:themeTint="F2"/>
          <w:sz w:val="24"/>
          <w:szCs w:val="24"/>
        </w:rPr>
        <w:t>p</w:t>
      </w:r>
      <w:r w:rsidR="009B3334" w:rsidRPr="00842FE5">
        <w:rPr>
          <w:rFonts w:ascii="Times New Roman" w:hAnsi="Times New Roman" w:cs="Times New Roman"/>
          <w:color w:val="0D0D0D" w:themeColor="text1" w:themeTint="F2"/>
          <w:sz w:val="24"/>
          <w:szCs w:val="24"/>
        </w:rPr>
        <w:t xml:space="preserve">eople </w:t>
      </w:r>
      <w:r w:rsidR="00174264" w:rsidRPr="00842FE5">
        <w:rPr>
          <w:rFonts w:ascii="Times New Roman" w:hAnsi="Times New Roman" w:cs="Times New Roman"/>
          <w:color w:val="0D0D0D" w:themeColor="text1" w:themeTint="F2"/>
          <w:sz w:val="24"/>
          <w:szCs w:val="24"/>
        </w:rPr>
        <w:t>with T2D</w:t>
      </w:r>
      <w:r w:rsidR="00F238D3" w:rsidRPr="00842FE5">
        <w:rPr>
          <w:rFonts w:ascii="Times New Roman" w:hAnsi="Times New Roman" w:cs="Times New Roman"/>
          <w:color w:val="0D0D0D" w:themeColor="text1" w:themeTint="F2"/>
          <w:sz w:val="24"/>
          <w:szCs w:val="24"/>
        </w:rPr>
        <w:t>M</w:t>
      </w:r>
      <w:r w:rsidR="00174264" w:rsidRPr="00842FE5">
        <w:rPr>
          <w:rFonts w:ascii="Times New Roman" w:hAnsi="Times New Roman" w:cs="Times New Roman"/>
          <w:color w:val="0D0D0D" w:themeColor="text1" w:themeTint="F2"/>
          <w:sz w:val="24"/>
          <w:szCs w:val="24"/>
        </w:rPr>
        <w:t xml:space="preserve"> uncontrolled on BI</w:t>
      </w:r>
      <w:r w:rsidR="007D0568" w:rsidRPr="00842FE5">
        <w:rPr>
          <w:rFonts w:ascii="Times New Roman" w:hAnsi="Times New Roman" w:cs="Times New Roman"/>
          <w:color w:val="0D0D0D" w:themeColor="text1" w:themeTint="F2"/>
          <w:sz w:val="24"/>
          <w:szCs w:val="24"/>
        </w:rPr>
        <w:t>.</w:t>
      </w:r>
      <w:r w:rsidR="00174264" w:rsidRPr="00842FE5">
        <w:rPr>
          <w:rFonts w:ascii="Times New Roman" w:hAnsi="Times New Roman" w:cs="Times New Roman"/>
          <w:color w:val="0D0D0D" w:themeColor="text1" w:themeTint="F2"/>
          <w:sz w:val="24"/>
          <w:szCs w:val="24"/>
        </w:rPr>
        <w:t xml:space="preserve"> The mean age and BMI of the eligible participants were </w:t>
      </w:r>
      <w:r w:rsidR="00921C34" w:rsidRPr="00842FE5">
        <w:rPr>
          <w:rFonts w:ascii="Times New Roman" w:hAnsi="Times New Roman" w:cs="Times New Roman"/>
          <w:color w:val="0D0D0D" w:themeColor="text1" w:themeTint="F2"/>
          <w:sz w:val="24"/>
          <w:szCs w:val="24"/>
        </w:rPr>
        <w:t xml:space="preserve">different </w:t>
      </w:r>
      <w:r w:rsidR="00DF7C6E" w:rsidRPr="00842FE5">
        <w:rPr>
          <w:rFonts w:ascii="Times New Roman" w:hAnsi="Times New Roman" w:cs="Times New Roman"/>
          <w:color w:val="0D0D0D" w:themeColor="text1" w:themeTint="F2"/>
          <w:sz w:val="24"/>
          <w:szCs w:val="24"/>
        </w:rPr>
        <w:t>from</w:t>
      </w:r>
      <w:r w:rsidR="00DA0CEA" w:rsidRPr="00842FE5">
        <w:rPr>
          <w:rFonts w:ascii="Times New Roman" w:hAnsi="Times New Roman" w:cs="Times New Roman"/>
          <w:color w:val="0D0D0D" w:themeColor="text1" w:themeTint="F2"/>
          <w:sz w:val="24"/>
          <w:szCs w:val="24"/>
        </w:rPr>
        <w:t xml:space="preserve"> that in</w:t>
      </w:r>
      <w:r w:rsidR="00DF7C6E" w:rsidRPr="00842FE5">
        <w:rPr>
          <w:rFonts w:ascii="Times New Roman" w:hAnsi="Times New Roman" w:cs="Times New Roman"/>
          <w:color w:val="0D0D0D" w:themeColor="text1" w:themeTint="F2"/>
          <w:sz w:val="24"/>
          <w:szCs w:val="24"/>
        </w:rPr>
        <w:t xml:space="preserve"> </w:t>
      </w:r>
      <w:r w:rsidR="00174264" w:rsidRPr="00842FE5">
        <w:rPr>
          <w:rFonts w:ascii="Times New Roman" w:hAnsi="Times New Roman" w:cs="Times New Roman"/>
          <w:color w:val="0D0D0D" w:themeColor="text1" w:themeTint="F2"/>
          <w:sz w:val="24"/>
          <w:szCs w:val="24"/>
        </w:rPr>
        <w:t>previous Gla-300 studies</w:t>
      </w:r>
      <w:r w:rsidR="00CF693E" w:rsidRPr="00842FE5">
        <w:rPr>
          <w:rFonts w:ascii="Times New Roman" w:hAnsi="Times New Roman" w:cs="Times New Roman"/>
          <w:color w:val="0D0D0D" w:themeColor="text1" w:themeTint="F2"/>
          <w:sz w:val="24"/>
          <w:szCs w:val="24"/>
        </w:rPr>
        <w:t xml:space="preserve"> </w:t>
      </w:r>
      <w:r w:rsidR="00DA0CEA" w:rsidRPr="00842FE5">
        <w:rPr>
          <w:rFonts w:ascii="Times New Roman" w:hAnsi="Times New Roman" w:cs="Times New Roman"/>
          <w:color w:val="0D0D0D" w:themeColor="text1" w:themeTint="F2"/>
          <w:sz w:val="24"/>
          <w:szCs w:val="24"/>
        </w:rPr>
        <w:t>[19–21]</w:t>
      </w:r>
      <w:r w:rsidR="00870ACC" w:rsidRPr="00842FE5">
        <w:rPr>
          <w:rFonts w:ascii="Times New Roman" w:hAnsi="Times New Roman" w:cs="Times New Roman"/>
          <w:color w:val="0D0D0D" w:themeColor="text1" w:themeTint="F2"/>
          <w:sz w:val="24"/>
          <w:szCs w:val="24"/>
        </w:rPr>
        <w:t>.</w:t>
      </w:r>
      <w:r w:rsidR="00725B24" w:rsidRPr="00842FE5">
        <w:rPr>
          <w:rFonts w:ascii="Times New Roman" w:hAnsi="Times New Roman" w:cs="Times New Roman"/>
          <w:color w:val="0D0D0D" w:themeColor="text1" w:themeTint="F2"/>
          <w:sz w:val="24"/>
          <w:szCs w:val="24"/>
          <w:vertAlign w:val="superscript"/>
        </w:rPr>
        <w:t xml:space="preserve"> </w:t>
      </w:r>
      <w:r w:rsidR="00183F93" w:rsidRPr="00842FE5">
        <w:rPr>
          <w:rFonts w:ascii="Times New Roman" w:hAnsi="Times New Roman" w:cs="Times New Roman"/>
          <w:color w:val="0D0D0D" w:themeColor="text1" w:themeTint="F2"/>
          <w:sz w:val="24"/>
          <w:szCs w:val="24"/>
        </w:rPr>
        <w:t>P</w:t>
      </w:r>
      <w:r w:rsidR="00174264" w:rsidRPr="00842FE5">
        <w:rPr>
          <w:rFonts w:ascii="Times New Roman" w:hAnsi="Times New Roman" w:cs="Times New Roman"/>
          <w:color w:val="0D0D0D" w:themeColor="text1" w:themeTint="F2"/>
          <w:sz w:val="24"/>
          <w:szCs w:val="24"/>
        </w:rPr>
        <w:t xml:space="preserve">articipants in the ARTEMIS-DM study </w:t>
      </w:r>
      <w:r w:rsidR="006E1DAC" w:rsidRPr="00842FE5">
        <w:rPr>
          <w:rFonts w:ascii="Times New Roman" w:hAnsi="Times New Roman" w:cs="Times New Roman"/>
          <w:color w:val="0D0D0D" w:themeColor="text1" w:themeTint="F2"/>
          <w:sz w:val="24"/>
          <w:szCs w:val="24"/>
        </w:rPr>
        <w:t xml:space="preserve">also </w:t>
      </w:r>
      <w:r w:rsidR="00174264" w:rsidRPr="00842FE5">
        <w:rPr>
          <w:rFonts w:ascii="Times New Roman" w:hAnsi="Times New Roman" w:cs="Times New Roman"/>
          <w:color w:val="0D0D0D" w:themeColor="text1" w:themeTint="F2"/>
          <w:sz w:val="24"/>
          <w:szCs w:val="24"/>
        </w:rPr>
        <w:t xml:space="preserve">had </w:t>
      </w:r>
      <w:r w:rsidR="001E664E" w:rsidRPr="00842FE5">
        <w:rPr>
          <w:rFonts w:ascii="Times New Roman" w:hAnsi="Times New Roman" w:cs="Times New Roman"/>
          <w:color w:val="0D0D0D" w:themeColor="text1" w:themeTint="F2"/>
          <w:sz w:val="24"/>
          <w:szCs w:val="24"/>
        </w:rPr>
        <w:t xml:space="preserve">a </w:t>
      </w:r>
      <w:r w:rsidR="00174264" w:rsidRPr="00842FE5">
        <w:rPr>
          <w:rFonts w:ascii="Times New Roman" w:hAnsi="Times New Roman" w:cs="Times New Roman"/>
          <w:color w:val="0D0D0D" w:themeColor="text1" w:themeTint="F2"/>
          <w:sz w:val="24"/>
          <w:szCs w:val="24"/>
        </w:rPr>
        <w:t>long duration of T2D</w:t>
      </w:r>
      <w:r w:rsidR="00F238D3" w:rsidRPr="00842FE5">
        <w:rPr>
          <w:rFonts w:ascii="Times New Roman" w:hAnsi="Times New Roman" w:cs="Times New Roman"/>
          <w:color w:val="0D0D0D" w:themeColor="text1" w:themeTint="F2"/>
          <w:sz w:val="24"/>
          <w:szCs w:val="24"/>
        </w:rPr>
        <w:t>M</w:t>
      </w:r>
      <w:r w:rsidR="001E664E" w:rsidRPr="00842FE5">
        <w:rPr>
          <w:rFonts w:ascii="Times New Roman" w:hAnsi="Times New Roman" w:cs="Times New Roman"/>
          <w:color w:val="0D0D0D" w:themeColor="text1" w:themeTint="F2"/>
          <w:sz w:val="24"/>
          <w:szCs w:val="24"/>
        </w:rPr>
        <w:t xml:space="preserve"> </w:t>
      </w:r>
      <w:r w:rsidR="0010110D" w:rsidRPr="00842FE5">
        <w:rPr>
          <w:rFonts w:ascii="Times New Roman" w:hAnsi="Times New Roman" w:cs="Times New Roman"/>
          <w:color w:val="0D0D0D" w:themeColor="text1" w:themeTint="F2"/>
          <w:sz w:val="24"/>
          <w:szCs w:val="24"/>
        </w:rPr>
        <w:t xml:space="preserve">(mean 13.1 years) </w:t>
      </w:r>
      <w:r w:rsidR="001E664E" w:rsidRPr="00842FE5">
        <w:rPr>
          <w:rFonts w:ascii="Times New Roman" w:hAnsi="Times New Roman" w:cs="Times New Roman"/>
          <w:color w:val="0D0D0D" w:themeColor="text1" w:themeTint="F2"/>
          <w:sz w:val="24"/>
          <w:szCs w:val="24"/>
        </w:rPr>
        <w:t xml:space="preserve">and were </w:t>
      </w:r>
      <w:r w:rsidR="005D1386" w:rsidRPr="00842FE5">
        <w:rPr>
          <w:rFonts w:ascii="Times New Roman" w:hAnsi="Times New Roman" w:cs="Times New Roman"/>
          <w:color w:val="0D0D0D" w:themeColor="text1" w:themeTint="F2"/>
          <w:sz w:val="24"/>
          <w:szCs w:val="24"/>
        </w:rPr>
        <w:t xml:space="preserve">on a </w:t>
      </w:r>
      <w:r w:rsidR="00174264" w:rsidRPr="00842FE5">
        <w:rPr>
          <w:rFonts w:ascii="Times New Roman" w:hAnsi="Times New Roman" w:cs="Times New Roman"/>
          <w:color w:val="0D0D0D" w:themeColor="text1" w:themeTint="F2"/>
          <w:sz w:val="24"/>
          <w:szCs w:val="24"/>
        </w:rPr>
        <w:t>broad range of previous BI</w:t>
      </w:r>
      <w:r w:rsidR="00224AFA" w:rsidRPr="00842FE5">
        <w:rPr>
          <w:rFonts w:ascii="Times New Roman" w:hAnsi="Times New Roman" w:cs="Times New Roman"/>
          <w:color w:val="0D0D0D" w:themeColor="text1" w:themeTint="F2"/>
          <w:sz w:val="24"/>
          <w:szCs w:val="24"/>
        </w:rPr>
        <w:t>,</w:t>
      </w:r>
      <w:r w:rsidR="00174264" w:rsidRPr="00842FE5">
        <w:rPr>
          <w:rFonts w:ascii="Times New Roman" w:hAnsi="Times New Roman" w:cs="Times New Roman"/>
          <w:color w:val="0D0D0D" w:themeColor="text1" w:themeTint="F2"/>
          <w:sz w:val="24"/>
          <w:szCs w:val="24"/>
        </w:rPr>
        <w:t xml:space="preserve"> </w:t>
      </w:r>
      <w:r w:rsidR="005D1386" w:rsidRPr="00842FE5">
        <w:rPr>
          <w:rFonts w:ascii="Times New Roman" w:hAnsi="Times New Roman" w:cs="Times New Roman"/>
          <w:color w:val="0D0D0D" w:themeColor="text1" w:themeTint="F2"/>
          <w:sz w:val="24"/>
          <w:szCs w:val="24"/>
        </w:rPr>
        <w:t xml:space="preserve">with </w:t>
      </w:r>
      <w:r w:rsidR="00174264" w:rsidRPr="00842FE5">
        <w:rPr>
          <w:rFonts w:ascii="Times New Roman" w:hAnsi="Times New Roman" w:cs="Times New Roman"/>
          <w:color w:val="0D0D0D" w:themeColor="text1" w:themeTint="F2"/>
          <w:sz w:val="24"/>
          <w:szCs w:val="24"/>
        </w:rPr>
        <w:t xml:space="preserve">the most commonly </w:t>
      </w:r>
      <w:r w:rsidR="005D1386" w:rsidRPr="00842FE5">
        <w:rPr>
          <w:rFonts w:ascii="Times New Roman" w:hAnsi="Times New Roman" w:cs="Times New Roman"/>
          <w:color w:val="0D0D0D" w:themeColor="text1" w:themeTint="F2"/>
          <w:sz w:val="24"/>
          <w:szCs w:val="24"/>
        </w:rPr>
        <w:t xml:space="preserve">used </w:t>
      </w:r>
      <w:r w:rsidR="00174264" w:rsidRPr="00842FE5">
        <w:rPr>
          <w:rFonts w:ascii="Times New Roman" w:hAnsi="Times New Roman" w:cs="Times New Roman"/>
          <w:color w:val="0D0D0D" w:themeColor="text1" w:themeTint="F2"/>
          <w:sz w:val="24"/>
          <w:szCs w:val="24"/>
        </w:rPr>
        <w:t xml:space="preserve">previous BI </w:t>
      </w:r>
      <w:r w:rsidR="005D1386" w:rsidRPr="00842FE5">
        <w:rPr>
          <w:rFonts w:ascii="Times New Roman" w:hAnsi="Times New Roman" w:cs="Times New Roman"/>
          <w:color w:val="0D0D0D" w:themeColor="text1" w:themeTint="F2"/>
          <w:sz w:val="24"/>
          <w:szCs w:val="24"/>
        </w:rPr>
        <w:t xml:space="preserve">being </w:t>
      </w:r>
      <w:r w:rsidR="00174264" w:rsidRPr="00842FE5">
        <w:rPr>
          <w:rFonts w:ascii="Times New Roman" w:hAnsi="Times New Roman" w:cs="Times New Roman"/>
          <w:color w:val="0D0D0D" w:themeColor="text1" w:themeTint="F2"/>
          <w:sz w:val="24"/>
          <w:szCs w:val="24"/>
        </w:rPr>
        <w:t>Gla-100 (59.7%) and NPH</w:t>
      </w:r>
      <w:r w:rsidR="00762BCF" w:rsidRPr="00842FE5">
        <w:rPr>
          <w:rFonts w:ascii="Times New Roman" w:hAnsi="Times New Roman" w:cs="Times New Roman"/>
          <w:color w:val="0D0D0D" w:themeColor="text1" w:themeTint="F2"/>
          <w:sz w:val="24"/>
          <w:szCs w:val="24"/>
        </w:rPr>
        <w:t xml:space="preserve"> insulin</w:t>
      </w:r>
      <w:r w:rsidR="00174264" w:rsidRPr="00842FE5">
        <w:rPr>
          <w:rFonts w:ascii="Times New Roman" w:hAnsi="Times New Roman" w:cs="Times New Roman"/>
          <w:color w:val="0D0D0D" w:themeColor="text1" w:themeTint="F2"/>
          <w:sz w:val="24"/>
          <w:szCs w:val="24"/>
        </w:rPr>
        <w:t xml:space="preserve"> (28.8%). </w:t>
      </w:r>
      <w:r w:rsidR="00946674" w:rsidRPr="00842FE5">
        <w:rPr>
          <w:rFonts w:ascii="Times New Roman" w:hAnsi="Times New Roman" w:cs="Times New Roman"/>
          <w:color w:val="0D0D0D" w:themeColor="text1" w:themeTint="F2"/>
          <w:sz w:val="24"/>
          <w:szCs w:val="24"/>
        </w:rPr>
        <w:t>B</w:t>
      </w:r>
      <w:r w:rsidR="00174264" w:rsidRPr="00842FE5">
        <w:rPr>
          <w:rFonts w:ascii="Times New Roman" w:hAnsi="Times New Roman" w:cs="Times New Roman"/>
          <w:color w:val="0D0D0D" w:themeColor="text1" w:themeTint="F2"/>
          <w:sz w:val="24"/>
          <w:szCs w:val="24"/>
        </w:rPr>
        <w:t xml:space="preserve">iguanides were the most commonly </w:t>
      </w:r>
      <w:r w:rsidR="005D1386" w:rsidRPr="00842FE5">
        <w:rPr>
          <w:rFonts w:ascii="Times New Roman" w:hAnsi="Times New Roman" w:cs="Times New Roman"/>
          <w:color w:val="0D0D0D" w:themeColor="text1" w:themeTint="F2"/>
          <w:sz w:val="24"/>
          <w:szCs w:val="24"/>
        </w:rPr>
        <w:t xml:space="preserve">used </w:t>
      </w:r>
      <w:r w:rsidR="00174264" w:rsidRPr="00842FE5">
        <w:rPr>
          <w:rFonts w:ascii="Times New Roman" w:hAnsi="Times New Roman" w:cs="Times New Roman"/>
          <w:color w:val="0D0D0D" w:themeColor="text1" w:themeTint="F2"/>
          <w:sz w:val="24"/>
          <w:szCs w:val="24"/>
        </w:rPr>
        <w:t>previous OADs among the participants</w:t>
      </w:r>
      <w:r w:rsidR="008E1E87" w:rsidRPr="00842FE5">
        <w:rPr>
          <w:rFonts w:ascii="Times New Roman" w:hAnsi="Times New Roman" w:cs="Times New Roman"/>
          <w:color w:val="0D0D0D" w:themeColor="text1" w:themeTint="F2"/>
          <w:sz w:val="24"/>
          <w:szCs w:val="24"/>
        </w:rPr>
        <w:t xml:space="preserve"> </w:t>
      </w:r>
      <w:r w:rsidR="00174264" w:rsidRPr="00842FE5">
        <w:rPr>
          <w:rFonts w:ascii="Times New Roman" w:hAnsi="Times New Roman" w:cs="Times New Roman"/>
          <w:color w:val="0D0D0D" w:themeColor="text1" w:themeTint="F2"/>
          <w:sz w:val="24"/>
          <w:szCs w:val="24"/>
        </w:rPr>
        <w:t xml:space="preserve">in </w:t>
      </w:r>
      <w:r w:rsidR="00612050" w:rsidRPr="00842FE5">
        <w:rPr>
          <w:rFonts w:ascii="Times New Roman" w:hAnsi="Times New Roman" w:cs="Times New Roman"/>
          <w:color w:val="0D0D0D" w:themeColor="text1" w:themeTint="F2"/>
          <w:sz w:val="24"/>
          <w:szCs w:val="24"/>
        </w:rPr>
        <w:t>this</w:t>
      </w:r>
      <w:r w:rsidR="00174264" w:rsidRPr="00842FE5">
        <w:rPr>
          <w:rFonts w:ascii="Times New Roman" w:hAnsi="Times New Roman" w:cs="Times New Roman"/>
          <w:color w:val="0D0D0D" w:themeColor="text1" w:themeTint="F2"/>
          <w:sz w:val="24"/>
          <w:szCs w:val="24"/>
        </w:rPr>
        <w:t xml:space="preserve"> study</w:t>
      </w:r>
      <w:r w:rsidR="00612050" w:rsidRPr="00842FE5">
        <w:rPr>
          <w:rFonts w:ascii="Times New Roman" w:hAnsi="Times New Roman" w:cs="Times New Roman"/>
          <w:color w:val="0D0D0D" w:themeColor="text1" w:themeTint="F2"/>
          <w:sz w:val="24"/>
          <w:szCs w:val="24"/>
        </w:rPr>
        <w:t>.</w:t>
      </w:r>
      <w:r w:rsidR="00174264" w:rsidRPr="00842FE5">
        <w:rPr>
          <w:rFonts w:ascii="Times New Roman" w:hAnsi="Times New Roman" w:cs="Times New Roman"/>
          <w:color w:val="0D0D0D" w:themeColor="text1" w:themeTint="F2"/>
          <w:sz w:val="24"/>
          <w:szCs w:val="24"/>
        </w:rPr>
        <w:t xml:space="preserve"> </w:t>
      </w:r>
      <w:r w:rsidR="00123034" w:rsidRPr="00842FE5">
        <w:rPr>
          <w:rFonts w:ascii="Times New Roman" w:hAnsi="Times New Roman" w:cs="Times New Roman"/>
          <w:color w:val="0D0D0D" w:themeColor="text1" w:themeTint="F2"/>
          <w:sz w:val="24"/>
          <w:szCs w:val="24"/>
        </w:rPr>
        <w:t xml:space="preserve">The regional populations in </w:t>
      </w:r>
      <w:r w:rsidR="009B5AD4" w:rsidRPr="00842FE5">
        <w:rPr>
          <w:rFonts w:ascii="Times New Roman" w:hAnsi="Times New Roman" w:cs="Times New Roman"/>
          <w:color w:val="0D0D0D" w:themeColor="text1" w:themeTint="F2"/>
          <w:sz w:val="24"/>
          <w:szCs w:val="24"/>
        </w:rPr>
        <w:t xml:space="preserve">the </w:t>
      </w:r>
      <w:r w:rsidR="00123034" w:rsidRPr="00842FE5">
        <w:rPr>
          <w:rFonts w:ascii="Times New Roman" w:hAnsi="Times New Roman" w:cs="Times New Roman"/>
          <w:color w:val="0D0D0D" w:themeColor="text1" w:themeTint="F2"/>
          <w:sz w:val="24"/>
          <w:szCs w:val="24"/>
        </w:rPr>
        <w:t xml:space="preserve">ARTEMIS-DM </w:t>
      </w:r>
      <w:r w:rsidR="009B5AD4" w:rsidRPr="00842FE5">
        <w:rPr>
          <w:rFonts w:ascii="Times New Roman" w:hAnsi="Times New Roman" w:cs="Times New Roman"/>
          <w:color w:val="0D0D0D" w:themeColor="text1" w:themeTint="F2"/>
          <w:sz w:val="24"/>
          <w:szCs w:val="24"/>
        </w:rPr>
        <w:t xml:space="preserve">study </w:t>
      </w:r>
      <w:r w:rsidR="00123034" w:rsidRPr="00842FE5">
        <w:rPr>
          <w:rFonts w:ascii="Times New Roman" w:hAnsi="Times New Roman" w:cs="Times New Roman"/>
          <w:color w:val="0D0D0D" w:themeColor="text1" w:themeTint="F2"/>
          <w:sz w:val="24"/>
          <w:szCs w:val="24"/>
        </w:rPr>
        <w:t>ha</w:t>
      </w:r>
      <w:r w:rsidR="009B5AD4" w:rsidRPr="00842FE5">
        <w:rPr>
          <w:rFonts w:ascii="Times New Roman" w:hAnsi="Times New Roman" w:cs="Times New Roman"/>
          <w:color w:val="0D0D0D" w:themeColor="text1" w:themeTint="F2"/>
          <w:sz w:val="24"/>
          <w:szCs w:val="24"/>
        </w:rPr>
        <w:t>d</w:t>
      </w:r>
      <w:r w:rsidR="00123034" w:rsidRPr="00842FE5">
        <w:rPr>
          <w:rFonts w:ascii="Times New Roman" w:hAnsi="Times New Roman" w:cs="Times New Roman"/>
          <w:color w:val="0D0D0D" w:themeColor="text1" w:themeTint="F2"/>
          <w:sz w:val="24"/>
          <w:szCs w:val="24"/>
        </w:rPr>
        <w:t xml:space="preserve"> varying patient characteristic, treatment practices, and </w:t>
      </w:r>
      <w:r w:rsidR="00256E2C" w:rsidRPr="00842FE5">
        <w:rPr>
          <w:rFonts w:ascii="Times New Roman" w:hAnsi="Times New Roman" w:cs="Times New Roman"/>
          <w:color w:val="0D0D0D" w:themeColor="text1" w:themeTint="F2"/>
          <w:sz w:val="24"/>
          <w:szCs w:val="24"/>
        </w:rPr>
        <w:t>were</w:t>
      </w:r>
      <w:r w:rsidR="00123034" w:rsidRPr="00842FE5">
        <w:rPr>
          <w:rFonts w:ascii="Times New Roman" w:hAnsi="Times New Roman" w:cs="Times New Roman"/>
          <w:color w:val="0D0D0D" w:themeColor="text1" w:themeTint="F2"/>
          <w:sz w:val="24"/>
          <w:szCs w:val="24"/>
        </w:rPr>
        <w:t xml:space="preserve"> found to have delayed insulin initiation and sub-optimal insulin dose titration</w:t>
      </w:r>
      <w:r w:rsidR="00B133B8">
        <w:rPr>
          <w:rFonts w:ascii="Times New Roman" w:hAnsi="Times New Roman" w:cs="Times New Roman"/>
          <w:color w:val="0D0D0D" w:themeColor="text1" w:themeTint="F2"/>
          <w:sz w:val="24"/>
          <w:szCs w:val="24"/>
        </w:rPr>
        <w:t>.</w:t>
      </w:r>
      <w:r w:rsidR="00256E2C" w:rsidRPr="00842FE5">
        <w:rPr>
          <w:rFonts w:ascii="Times New Roman" w:hAnsi="Times New Roman" w:cs="Times New Roman"/>
          <w:color w:val="0D0D0D" w:themeColor="text1" w:themeTint="F2"/>
          <w:sz w:val="24"/>
          <w:szCs w:val="24"/>
        </w:rPr>
        <w:t xml:space="preserve"> </w:t>
      </w:r>
    </w:p>
    <w:p w14:paraId="6049E991" w14:textId="51FB5D9A" w:rsidR="00BA3858" w:rsidRPr="00842FE5" w:rsidRDefault="00B1501A" w:rsidP="00BA399D">
      <w:pPr>
        <w:tabs>
          <w:tab w:val="left" w:pos="709"/>
        </w:tabs>
        <w:spacing w:line="480" w:lineRule="auto"/>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 xml:space="preserve">The </w:t>
      </w:r>
      <w:r w:rsidR="00CE1EA3" w:rsidRPr="00842FE5">
        <w:rPr>
          <w:rFonts w:ascii="Times New Roman" w:hAnsi="Times New Roman" w:cs="Times New Roman"/>
          <w:color w:val="0D0D0D" w:themeColor="text1" w:themeTint="F2"/>
          <w:sz w:val="24"/>
          <w:szCs w:val="24"/>
        </w:rPr>
        <w:t>result</w:t>
      </w:r>
      <w:r w:rsidR="0014425D">
        <w:rPr>
          <w:rFonts w:ascii="Times New Roman" w:hAnsi="Times New Roman" w:cs="Times New Roman"/>
          <w:color w:val="0D0D0D" w:themeColor="text1" w:themeTint="F2"/>
          <w:sz w:val="24"/>
          <w:szCs w:val="24"/>
        </w:rPr>
        <w:t>s</w:t>
      </w:r>
      <w:r w:rsidR="00CE1EA3" w:rsidRPr="00842FE5">
        <w:rPr>
          <w:rFonts w:ascii="Times New Roman" w:hAnsi="Times New Roman" w:cs="Times New Roman"/>
          <w:color w:val="0D0D0D" w:themeColor="text1" w:themeTint="F2"/>
          <w:sz w:val="24"/>
          <w:szCs w:val="24"/>
        </w:rPr>
        <w:t xml:space="preserve"> of this study supports the findings from other </w:t>
      </w:r>
      <w:r w:rsidR="008224E8" w:rsidRPr="00842FE5">
        <w:rPr>
          <w:rFonts w:ascii="Times New Roman" w:hAnsi="Times New Roman" w:cs="Times New Roman"/>
          <w:color w:val="0D0D0D" w:themeColor="text1" w:themeTint="F2"/>
          <w:sz w:val="24"/>
          <w:szCs w:val="24"/>
        </w:rPr>
        <w:t xml:space="preserve">Gla-300 </w:t>
      </w:r>
      <w:r w:rsidR="00CE1EA3" w:rsidRPr="00842FE5">
        <w:rPr>
          <w:rFonts w:ascii="Times New Roman" w:hAnsi="Times New Roman" w:cs="Times New Roman"/>
          <w:color w:val="0D0D0D" w:themeColor="text1" w:themeTint="F2"/>
          <w:sz w:val="24"/>
          <w:szCs w:val="24"/>
        </w:rPr>
        <w:t>studies</w:t>
      </w:r>
      <w:r w:rsidR="00EE5295" w:rsidRPr="00842FE5">
        <w:rPr>
          <w:rFonts w:ascii="Times New Roman" w:hAnsi="Times New Roman" w:cs="Times New Roman"/>
          <w:color w:val="0D0D0D" w:themeColor="text1" w:themeTint="F2"/>
          <w:sz w:val="24"/>
          <w:szCs w:val="24"/>
        </w:rPr>
        <w:t xml:space="preserve"> </w:t>
      </w:r>
      <w:r w:rsidR="00472FFE" w:rsidRPr="00842FE5">
        <w:rPr>
          <w:rFonts w:ascii="Times New Roman" w:hAnsi="Times New Roman" w:cs="Times New Roman"/>
          <w:color w:val="0D0D0D" w:themeColor="text1" w:themeTint="F2"/>
          <w:sz w:val="24"/>
          <w:szCs w:val="24"/>
        </w:rPr>
        <w:t xml:space="preserve">namely </w:t>
      </w:r>
      <w:r w:rsidR="00FC2ED1" w:rsidRPr="00842FE5">
        <w:rPr>
          <w:rFonts w:ascii="Times New Roman" w:hAnsi="Times New Roman" w:cs="Times New Roman"/>
          <w:color w:val="0D0D0D" w:themeColor="text1" w:themeTint="F2"/>
          <w:sz w:val="24"/>
          <w:szCs w:val="24"/>
        </w:rPr>
        <w:t xml:space="preserve">the </w:t>
      </w:r>
      <w:r w:rsidR="008224E8" w:rsidRPr="00842FE5">
        <w:rPr>
          <w:rFonts w:ascii="Times New Roman" w:hAnsi="Times New Roman" w:cs="Times New Roman"/>
          <w:color w:val="0D0D0D" w:themeColor="text1" w:themeTint="F2"/>
          <w:sz w:val="24"/>
          <w:szCs w:val="24"/>
        </w:rPr>
        <w:t>EDITION 2</w:t>
      </w:r>
      <w:r w:rsidR="00870ACC" w:rsidRPr="00842FE5">
        <w:rPr>
          <w:rFonts w:ascii="Times New Roman" w:hAnsi="Times New Roman" w:cs="Times New Roman"/>
          <w:color w:val="0D0D0D" w:themeColor="text1" w:themeTint="F2"/>
          <w:sz w:val="24"/>
          <w:szCs w:val="24"/>
        </w:rPr>
        <w:t xml:space="preserve"> </w:t>
      </w:r>
      <w:r w:rsidR="006F7902">
        <w:rPr>
          <w:rFonts w:ascii="Times New Roman" w:hAnsi="Times New Roman" w:cs="Times New Roman"/>
          <w:color w:val="0D0D0D" w:themeColor="text1" w:themeTint="F2"/>
          <w:sz w:val="24"/>
          <w:szCs w:val="24"/>
        </w:rPr>
        <w:t xml:space="preserve">RCT </w:t>
      </w:r>
      <w:r w:rsidR="00870ACC" w:rsidRPr="00842FE5">
        <w:rPr>
          <w:rFonts w:ascii="Times New Roman" w:hAnsi="Times New Roman" w:cs="Times New Roman"/>
          <w:color w:val="0D0D0D" w:themeColor="text1" w:themeTint="F2"/>
          <w:sz w:val="24"/>
          <w:szCs w:val="24"/>
        </w:rPr>
        <w:t>[19]</w:t>
      </w:r>
      <w:r w:rsidR="00FC2ED1" w:rsidRPr="00842FE5">
        <w:rPr>
          <w:rFonts w:ascii="Times New Roman" w:hAnsi="Times New Roman" w:cs="Times New Roman"/>
          <w:color w:val="0D0D0D" w:themeColor="text1" w:themeTint="F2"/>
          <w:sz w:val="24"/>
          <w:szCs w:val="24"/>
        </w:rPr>
        <w:t>,</w:t>
      </w:r>
      <w:r w:rsidR="008224E8" w:rsidRPr="00842FE5">
        <w:rPr>
          <w:rFonts w:ascii="Times New Roman" w:hAnsi="Times New Roman" w:cs="Times New Roman"/>
          <w:color w:val="0D0D0D" w:themeColor="text1" w:themeTint="F2"/>
          <w:sz w:val="24"/>
          <w:szCs w:val="24"/>
        </w:rPr>
        <w:t xml:space="preserve"> TRANSITION 2</w:t>
      </w:r>
      <w:r w:rsidR="008521D6">
        <w:rPr>
          <w:rFonts w:ascii="Times New Roman" w:hAnsi="Times New Roman" w:cs="Times New Roman"/>
          <w:color w:val="0D0D0D" w:themeColor="text1" w:themeTint="F2"/>
          <w:sz w:val="24"/>
          <w:szCs w:val="24"/>
        </w:rPr>
        <w:t xml:space="preserve"> interventional study</w:t>
      </w:r>
      <w:r w:rsidR="00870ACC" w:rsidRPr="00842FE5">
        <w:rPr>
          <w:rFonts w:ascii="Times New Roman" w:hAnsi="Times New Roman" w:cs="Times New Roman"/>
          <w:color w:val="0D0D0D" w:themeColor="text1" w:themeTint="F2"/>
          <w:sz w:val="24"/>
          <w:szCs w:val="24"/>
        </w:rPr>
        <w:t xml:space="preserve"> [20]</w:t>
      </w:r>
      <w:r w:rsidR="00FC2ED1" w:rsidRPr="00842FE5">
        <w:rPr>
          <w:rFonts w:ascii="Times New Roman" w:hAnsi="Times New Roman" w:cs="Times New Roman"/>
          <w:color w:val="0D0D0D" w:themeColor="text1" w:themeTint="F2"/>
          <w:sz w:val="24"/>
          <w:szCs w:val="24"/>
        </w:rPr>
        <w:t xml:space="preserve"> and DELIVER 2</w:t>
      </w:r>
      <w:r w:rsidR="00870ACC" w:rsidRPr="00842FE5">
        <w:rPr>
          <w:rFonts w:ascii="Times New Roman" w:hAnsi="Times New Roman" w:cs="Times New Roman"/>
          <w:color w:val="0D0D0D" w:themeColor="text1" w:themeTint="F2"/>
          <w:sz w:val="24"/>
          <w:szCs w:val="24"/>
        </w:rPr>
        <w:t xml:space="preserve"> </w:t>
      </w:r>
      <w:r w:rsidR="008521D6">
        <w:rPr>
          <w:rFonts w:ascii="Times New Roman" w:hAnsi="Times New Roman" w:cs="Times New Roman"/>
          <w:color w:val="0D0D0D" w:themeColor="text1" w:themeTint="F2"/>
          <w:sz w:val="24"/>
          <w:szCs w:val="24"/>
        </w:rPr>
        <w:t>RWE st</w:t>
      </w:r>
      <w:r w:rsidR="005D3EC2">
        <w:rPr>
          <w:rFonts w:ascii="Times New Roman" w:hAnsi="Times New Roman" w:cs="Times New Roman"/>
          <w:color w:val="0D0D0D" w:themeColor="text1" w:themeTint="F2"/>
          <w:sz w:val="24"/>
          <w:szCs w:val="24"/>
        </w:rPr>
        <w:t xml:space="preserve">udy </w:t>
      </w:r>
      <w:r w:rsidR="00870ACC" w:rsidRPr="00842FE5">
        <w:rPr>
          <w:rFonts w:ascii="Times New Roman" w:hAnsi="Times New Roman" w:cs="Times New Roman"/>
          <w:color w:val="0D0D0D" w:themeColor="text1" w:themeTint="F2"/>
          <w:sz w:val="24"/>
          <w:szCs w:val="24"/>
        </w:rPr>
        <w:t>[21]</w:t>
      </w:r>
      <w:r w:rsidR="008224E8" w:rsidRPr="00842FE5">
        <w:rPr>
          <w:rFonts w:ascii="Times New Roman" w:hAnsi="Times New Roman" w:cs="Times New Roman"/>
          <w:color w:val="0D0D0D" w:themeColor="text1" w:themeTint="F2"/>
          <w:sz w:val="24"/>
          <w:szCs w:val="24"/>
        </w:rPr>
        <w:t xml:space="preserve"> </w:t>
      </w:r>
      <w:r w:rsidR="00EE5295" w:rsidRPr="00842FE5">
        <w:rPr>
          <w:rFonts w:ascii="Times New Roman" w:hAnsi="Times New Roman" w:cs="Times New Roman"/>
          <w:color w:val="0D0D0D" w:themeColor="text1" w:themeTint="F2"/>
          <w:sz w:val="24"/>
          <w:szCs w:val="24"/>
        </w:rPr>
        <w:t>in people with T2D</w:t>
      </w:r>
      <w:r w:rsidR="00F238D3" w:rsidRPr="00842FE5">
        <w:rPr>
          <w:rFonts w:ascii="Times New Roman" w:hAnsi="Times New Roman" w:cs="Times New Roman"/>
          <w:color w:val="0D0D0D" w:themeColor="text1" w:themeTint="F2"/>
          <w:sz w:val="24"/>
          <w:szCs w:val="24"/>
        </w:rPr>
        <w:t>M</w:t>
      </w:r>
      <w:r w:rsidR="00EE5295" w:rsidRPr="00842FE5">
        <w:rPr>
          <w:rFonts w:ascii="Times New Roman" w:hAnsi="Times New Roman" w:cs="Times New Roman"/>
          <w:color w:val="0D0D0D" w:themeColor="text1" w:themeTint="F2"/>
          <w:sz w:val="24"/>
          <w:szCs w:val="24"/>
        </w:rPr>
        <w:t>.</w:t>
      </w:r>
      <w:r w:rsidR="00397608" w:rsidRPr="00842FE5">
        <w:rPr>
          <w:rFonts w:ascii="Times New Roman" w:hAnsi="Times New Roman" w:cs="Times New Roman"/>
          <w:color w:val="0D0D0D" w:themeColor="text1" w:themeTint="F2"/>
          <w:sz w:val="24"/>
          <w:szCs w:val="24"/>
        </w:rPr>
        <w:t xml:space="preserve"> </w:t>
      </w:r>
      <w:r w:rsidR="0078443A" w:rsidRPr="00842FE5">
        <w:rPr>
          <w:rFonts w:ascii="Times New Roman" w:hAnsi="Times New Roman" w:cs="Times New Roman"/>
          <w:color w:val="0D0D0D" w:themeColor="text1" w:themeTint="F2"/>
          <w:sz w:val="24"/>
          <w:szCs w:val="24"/>
        </w:rPr>
        <w:t>Although the</w:t>
      </w:r>
      <w:r w:rsidR="004A5DFC" w:rsidRPr="00842FE5">
        <w:rPr>
          <w:rFonts w:ascii="Times New Roman" w:hAnsi="Times New Roman" w:cs="Times New Roman"/>
          <w:color w:val="0D0D0D" w:themeColor="text1" w:themeTint="F2"/>
          <w:sz w:val="24"/>
          <w:szCs w:val="24"/>
        </w:rPr>
        <w:t xml:space="preserve"> Gla-300 arms of these</w:t>
      </w:r>
      <w:r w:rsidR="0078443A" w:rsidRPr="00842FE5">
        <w:rPr>
          <w:rFonts w:ascii="Times New Roman" w:hAnsi="Times New Roman" w:cs="Times New Roman"/>
          <w:color w:val="0D0D0D" w:themeColor="text1" w:themeTint="F2"/>
          <w:sz w:val="24"/>
          <w:szCs w:val="24"/>
        </w:rPr>
        <w:t xml:space="preserve"> studies evaluated the efficacy</w:t>
      </w:r>
      <w:r w:rsidR="00F5736F" w:rsidRPr="00842FE5">
        <w:rPr>
          <w:rFonts w:ascii="Times New Roman" w:hAnsi="Times New Roman" w:cs="Times New Roman"/>
          <w:color w:val="0D0D0D" w:themeColor="text1" w:themeTint="F2"/>
          <w:sz w:val="24"/>
          <w:szCs w:val="24"/>
        </w:rPr>
        <w:t xml:space="preserve"> or effectiveness</w:t>
      </w:r>
      <w:r w:rsidR="0078443A" w:rsidRPr="00842FE5">
        <w:rPr>
          <w:rFonts w:ascii="Times New Roman" w:hAnsi="Times New Roman" w:cs="Times New Roman"/>
          <w:color w:val="0D0D0D" w:themeColor="text1" w:themeTint="F2"/>
          <w:sz w:val="24"/>
          <w:szCs w:val="24"/>
        </w:rPr>
        <w:t xml:space="preserve"> and safety of switching to Gla-300 </w:t>
      </w:r>
      <w:r w:rsidR="00355DF9" w:rsidRPr="00842FE5">
        <w:rPr>
          <w:rFonts w:ascii="Times New Roman" w:hAnsi="Times New Roman" w:cs="Times New Roman"/>
          <w:color w:val="0D0D0D" w:themeColor="text1" w:themeTint="F2"/>
          <w:sz w:val="24"/>
          <w:szCs w:val="24"/>
        </w:rPr>
        <w:t>in people with T2D</w:t>
      </w:r>
      <w:r w:rsidR="00F238D3" w:rsidRPr="00842FE5">
        <w:rPr>
          <w:rFonts w:ascii="Times New Roman" w:hAnsi="Times New Roman" w:cs="Times New Roman"/>
          <w:color w:val="0D0D0D" w:themeColor="text1" w:themeTint="F2"/>
          <w:sz w:val="24"/>
          <w:szCs w:val="24"/>
        </w:rPr>
        <w:t>M</w:t>
      </w:r>
      <w:r w:rsidR="00355DF9" w:rsidRPr="00842FE5">
        <w:rPr>
          <w:rFonts w:ascii="Times New Roman" w:hAnsi="Times New Roman" w:cs="Times New Roman"/>
          <w:color w:val="0D0D0D" w:themeColor="text1" w:themeTint="F2"/>
          <w:sz w:val="24"/>
          <w:szCs w:val="24"/>
        </w:rPr>
        <w:t xml:space="preserve"> who were previously treated with other BI</w:t>
      </w:r>
      <w:r w:rsidR="00F5736F" w:rsidRPr="00842FE5">
        <w:rPr>
          <w:rFonts w:ascii="Times New Roman" w:hAnsi="Times New Roman" w:cs="Times New Roman"/>
          <w:color w:val="0D0D0D" w:themeColor="text1" w:themeTint="F2"/>
          <w:sz w:val="24"/>
          <w:szCs w:val="24"/>
        </w:rPr>
        <w:t xml:space="preserve"> in RWE or interventional setting,</w:t>
      </w:r>
      <w:r w:rsidR="00355DF9" w:rsidRPr="00842FE5">
        <w:rPr>
          <w:rFonts w:ascii="Times New Roman" w:hAnsi="Times New Roman" w:cs="Times New Roman"/>
          <w:color w:val="0D0D0D" w:themeColor="text1" w:themeTint="F2"/>
          <w:sz w:val="24"/>
          <w:szCs w:val="24"/>
        </w:rPr>
        <w:t xml:space="preserve"> </w:t>
      </w:r>
      <w:r w:rsidR="006A2FD7" w:rsidRPr="00842FE5">
        <w:rPr>
          <w:rFonts w:ascii="Times New Roman" w:hAnsi="Times New Roman" w:cs="Times New Roman"/>
          <w:color w:val="0D0D0D" w:themeColor="text1" w:themeTint="F2"/>
          <w:sz w:val="24"/>
          <w:szCs w:val="24"/>
        </w:rPr>
        <w:t xml:space="preserve">it may not be possible to draw any direct comparisons </w:t>
      </w:r>
      <w:r w:rsidR="003A7E44" w:rsidRPr="00842FE5">
        <w:rPr>
          <w:rFonts w:ascii="Times New Roman" w:hAnsi="Times New Roman" w:cs="Times New Roman"/>
          <w:color w:val="0D0D0D" w:themeColor="text1" w:themeTint="F2"/>
          <w:sz w:val="24"/>
          <w:szCs w:val="24"/>
        </w:rPr>
        <w:t xml:space="preserve">with </w:t>
      </w:r>
      <w:r w:rsidR="0051339F">
        <w:rPr>
          <w:rFonts w:ascii="Times New Roman" w:hAnsi="Times New Roman" w:cs="Times New Roman"/>
          <w:color w:val="0D0D0D" w:themeColor="text1" w:themeTint="F2"/>
          <w:sz w:val="24"/>
          <w:szCs w:val="24"/>
        </w:rPr>
        <w:t>the present</w:t>
      </w:r>
      <w:r w:rsidR="003A7E44" w:rsidRPr="00842FE5">
        <w:rPr>
          <w:rFonts w:ascii="Times New Roman" w:hAnsi="Times New Roman" w:cs="Times New Roman"/>
          <w:color w:val="0D0D0D" w:themeColor="text1" w:themeTint="F2"/>
          <w:sz w:val="24"/>
          <w:szCs w:val="24"/>
        </w:rPr>
        <w:t xml:space="preserve"> study owing to </w:t>
      </w:r>
      <w:r w:rsidR="00C16256" w:rsidRPr="00842FE5">
        <w:rPr>
          <w:rFonts w:ascii="Times New Roman" w:hAnsi="Times New Roman" w:cs="Times New Roman"/>
          <w:color w:val="0D0D0D" w:themeColor="text1" w:themeTint="F2"/>
          <w:sz w:val="24"/>
          <w:szCs w:val="24"/>
        </w:rPr>
        <w:t>d</w:t>
      </w:r>
      <w:r w:rsidR="003A7E44" w:rsidRPr="00842FE5">
        <w:rPr>
          <w:rFonts w:ascii="Times New Roman" w:hAnsi="Times New Roman" w:cs="Times New Roman"/>
          <w:color w:val="0D0D0D" w:themeColor="text1" w:themeTint="F2"/>
          <w:sz w:val="24"/>
          <w:szCs w:val="24"/>
        </w:rPr>
        <w:t xml:space="preserve">ifferences in the study designs. </w:t>
      </w:r>
      <w:r w:rsidR="008A0E6E" w:rsidRPr="00842FE5">
        <w:rPr>
          <w:rFonts w:ascii="Times New Roman" w:hAnsi="Times New Roman" w:cs="Times New Roman"/>
          <w:color w:val="0D0D0D" w:themeColor="text1" w:themeTint="F2"/>
          <w:sz w:val="24"/>
          <w:szCs w:val="24"/>
        </w:rPr>
        <w:t xml:space="preserve">The </w:t>
      </w:r>
      <w:r w:rsidR="00397608" w:rsidRPr="00842FE5">
        <w:rPr>
          <w:rFonts w:ascii="Times New Roman" w:hAnsi="Times New Roman" w:cs="Times New Roman"/>
          <w:color w:val="0D0D0D" w:themeColor="text1" w:themeTint="F2"/>
          <w:sz w:val="24"/>
          <w:szCs w:val="24"/>
        </w:rPr>
        <w:t>EDITION 2 was a treat-to-target</w:t>
      </w:r>
      <w:r w:rsidR="00BB2A50" w:rsidRPr="00842FE5">
        <w:rPr>
          <w:rFonts w:ascii="Times New Roman" w:hAnsi="Times New Roman" w:cs="Times New Roman"/>
          <w:color w:val="0D0D0D" w:themeColor="text1" w:themeTint="F2"/>
          <w:sz w:val="24"/>
          <w:szCs w:val="24"/>
        </w:rPr>
        <w:t xml:space="preserve"> </w:t>
      </w:r>
      <w:r w:rsidR="00397608" w:rsidRPr="00842FE5">
        <w:rPr>
          <w:rFonts w:ascii="Times New Roman" w:hAnsi="Times New Roman" w:cs="Times New Roman"/>
          <w:color w:val="0D0D0D" w:themeColor="text1" w:themeTint="F2"/>
          <w:sz w:val="24"/>
          <w:szCs w:val="24"/>
        </w:rPr>
        <w:t>randomi</w:t>
      </w:r>
      <w:r w:rsidR="00BB2A50" w:rsidRPr="00842FE5">
        <w:rPr>
          <w:rFonts w:ascii="Times New Roman" w:hAnsi="Times New Roman" w:cs="Times New Roman"/>
          <w:color w:val="0D0D0D" w:themeColor="text1" w:themeTint="F2"/>
          <w:sz w:val="24"/>
          <w:szCs w:val="24"/>
        </w:rPr>
        <w:t>s</w:t>
      </w:r>
      <w:r w:rsidR="00397608" w:rsidRPr="00842FE5">
        <w:rPr>
          <w:rFonts w:ascii="Times New Roman" w:hAnsi="Times New Roman" w:cs="Times New Roman"/>
          <w:color w:val="0D0D0D" w:themeColor="text1" w:themeTint="F2"/>
          <w:sz w:val="24"/>
          <w:szCs w:val="24"/>
        </w:rPr>
        <w:t>ed open label study comparing</w:t>
      </w:r>
      <w:r w:rsidR="00BB2A50" w:rsidRPr="00842FE5">
        <w:rPr>
          <w:rFonts w:ascii="Times New Roman" w:hAnsi="Times New Roman" w:cs="Times New Roman"/>
          <w:color w:val="0D0D0D" w:themeColor="text1" w:themeTint="F2"/>
          <w:sz w:val="24"/>
          <w:szCs w:val="24"/>
        </w:rPr>
        <w:t xml:space="preserve"> </w:t>
      </w:r>
      <w:r w:rsidR="00466D7D" w:rsidRPr="00842FE5">
        <w:rPr>
          <w:rFonts w:ascii="Times New Roman" w:hAnsi="Times New Roman" w:cs="Times New Roman"/>
          <w:color w:val="0D0D0D" w:themeColor="text1" w:themeTint="F2"/>
          <w:sz w:val="24"/>
          <w:szCs w:val="24"/>
        </w:rPr>
        <w:t xml:space="preserve">once daily </w:t>
      </w:r>
      <w:r w:rsidR="00397608" w:rsidRPr="00842FE5">
        <w:rPr>
          <w:rFonts w:ascii="Times New Roman" w:hAnsi="Times New Roman" w:cs="Times New Roman"/>
          <w:color w:val="0D0D0D" w:themeColor="text1" w:themeTint="F2"/>
          <w:sz w:val="24"/>
          <w:szCs w:val="24"/>
        </w:rPr>
        <w:t>Gla-</w:t>
      </w:r>
      <w:r w:rsidR="00466D7D" w:rsidRPr="00842FE5">
        <w:rPr>
          <w:rFonts w:ascii="Times New Roman" w:hAnsi="Times New Roman" w:cs="Times New Roman"/>
          <w:color w:val="0D0D0D" w:themeColor="text1" w:themeTint="F2"/>
          <w:sz w:val="24"/>
          <w:szCs w:val="24"/>
        </w:rPr>
        <w:t>3</w:t>
      </w:r>
      <w:r w:rsidR="00397608" w:rsidRPr="00842FE5">
        <w:rPr>
          <w:rFonts w:ascii="Times New Roman" w:hAnsi="Times New Roman" w:cs="Times New Roman"/>
          <w:color w:val="0D0D0D" w:themeColor="text1" w:themeTint="F2"/>
          <w:sz w:val="24"/>
          <w:szCs w:val="24"/>
        </w:rPr>
        <w:t xml:space="preserve">00 </w:t>
      </w:r>
      <w:r w:rsidR="00466D7D" w:rsidRPr="00842FE5">
        <w:rPr>
          <w:rFonts w:ascii="Times New Roman" w:hAnsi="Times New Roman" w:cs="Times New Roman"/>
          <w:color w:val="0D0D0D" w:themeColor="text1" w:themeTint="F2"/>
          <w:sz w:val="24"/>
          <w:szCs w:val="24"/>
        </w:rPr>
        <w:t xml:space="preserve">versus </w:t>
      </w:r>
      <w:r w:rsidR="00397608" w:rsidRPr="00842FE5">
        <w:rPr>
          <w:rFonts w:ascii="Times New Roman" w:hAnsi="Times New Roman" w:cs="Times New Roman"/>
          <w:color w:val="0D0D0D" w:themeColor="text1" w:themeTint="F2"/>
          <w:sz w:val="24"/>
          <w:szCs w:val="24"/>
        </w:rPr>
        <w:t>Gla-</w:t>
      </w:r>
      <w:r w:rsidR="00466D7D" w:rsidRPr="00842FE5">
        <w:rPr>
          <w:rFonts w:ascii="Times New Roman" w:hAnsi="Times New Roman" w:cs="Times New Roman"/>
          <w:color w:val="0D0D0D" w:themeColor="text1" w:themeTint="F2"/>
          <w:sz w:val="24"/>
          <w:szCs w:val="24"/>
        </w:rPr>
        <w:t>1</w:t>
      </w:r>
      <w:r w:rsidR="00397608" w:rsidRPr="00842FE5">
        <w:rPr>
          <w:rFonts w:ascii="Times New Roman" w:hAnsi="Times New Roman" w:cs="Times New Roman"/>
          <w:color w:val="0D0D0D" w:themeColor="text1" w:themeTint="F2"/>
          <w:sz w:val="24"/>
          <w:szCs w:val="24"/>
        </w:rPr>
        <w:t xml:space="preserve">00 in </w:t>
      </w:r>
      <w:r w:rsidR="008C5BC9" w:rsidRPr="00842FE5">
        <w:rPr>
          <w:rFonts w:ascii="Times New Roman" w:hAnsi="Times New Roman" w:cs="Times New Roman"/>
          <w:color w:val="0D0D0D" w:themeColor="text1" w:themeTint="F2"/>
          <w:sz w:val="24"/>
          <w:szCs w:val="24"/>
        </w:rPr>
        <w:t xml:space="preserve">people </w:t>
      </w:r>
      <w:r w:rsidR="00397608" w:rsidRPr="00842FE5">
        <w:rPr>
          <w:rFonts w:ascii="Times New Roman" w:hAnsi="Times New Roman" w:cs="Times New Roman"/>
          <w:color w:val="0D0D0D" w:themeColor="text1" w:themeTint="F2"/>
          <w:sz w:val="24"/>
          <w:szCs w:val="24"/>
        </w:rPr>
        <w:t xml:space="preserve">with </w:t>
      </w:r>
      <w:r w:rsidR="003B5AEA" w:rsidRPr="00842FE5">
        <w:rPr>
          <w:rFonts w:ascii="Times New Roman" w:hAnsi="Times New Roman" w:cs="Times New Roman"/>
          <w:color w:val="0D0D0D" w:themeColor="text1" w:themeTint="F2"/>
          <w:sz w:val="24"/>
          <w:szCs w:val="24"/>
        </w:rPr>
        <w:t>T2D</w:t>
      </w:r>
      <w:r w:rsidR="00F238D3" w:rsidRPr="00842FE5">
        <w:rPr>
          <w:rFonts w:ascii="Times New Roman" w:hAnsi="Times New Roman" w:cs="Times New Roman"/>
          <w:color w:val="0D0D0D" w:themeColor="text1" w:themeTint="F2"/>
          <w:sz w:val="24"/>
          <w:szCs w:val="24"/>
        </w:rPr>
        <w:t>M</w:t>
      </w:r>
      <w:r w:rsidR="003B5AEA" w:rsidRPr="00842FE5">
        <w:rPr>
          <w:rFonts w:ascii="Times New Roman" w:hAnsi="Times New Roman" w:cs="Times New Roman"/>
          <w:color w:val="0D0D0D" w:themeColor="text1" w:themeTint="F2"/>
          <w:sz w:val="24"/>
          <w:szCs w:val="24"/>
        </w:rPr>
        <w:t xml:space="preserve"> uncontrolled </w:t>
      </w:r>
      <w:r w:rsidR="00397608" w:rsidRPr="00842FE5">
        <w:rPr>
          <w:rFonts w:ascii="Times New Roman" w:hAnsi="Times New Roman" w:cs="Times New Roman"/>
          <w:color w:val="0D0D0D" w:themeColor="text1" w:themeTint="F2"/>
          <w:sz w:val="24"/>
          <w:szCs w:val="24"/>
        </w:rPr>
        <w:t xml:space="preserve">on </w:t>
      </w:r>
      <w:r w:rsidR="000845C0" w:rsidRPr="00842FE5">
        <w:rPr>
          <w:rFonts w:ascii="Times New Roman" w:hAnsi="Times New Roman" w:cs="Times New Roman"/>
          <w:color w:val="0D0D0D" w:themeColor="text1" w:themeTint="F2"/>
          <w:sz w:val="24"/>
          <w:szCs w:val="24"/>
        </w:rPr>
        <w:t>BI</w:t>
      </w:r>
      <w:r w:rsidR="00397608" w:rsidRPr="00842FE5">
        <w:rPr>
          <w:rFonts w:ascii="Times New Roman" w:hAnsi="Times New Roman" w:cs="Times New Roman"/>
          <w:color w:val="0D0D0D" w:themeColor="text1" w:themeTint="F2"/>
          <w:sz w:val="24"/>
          <w:szCs w:val="24"/>
        </w:rPr>
        <w:t xml:space="preserve"> and </w:t>
      </w:r>
      <w:r w:rsidR="007C4949" w:rsidRPr="00842FE5">
        <w:rPr>
          <w:rFonts w:ascii="Times New Roman" w:hAnsi="Times New Roman" w:cs="Times New Roman"/>
          <w:color w:val="0D0D0D" w:themeColor="text1" w:themeTint="F2"/>
          <w:sz w:val="24"/>
          <w:szCs w:val="24"/>
        </w:rPr>
        <w:t>OADs</w:t>
      </w:r>
      <w:r w:rsidR="008A0E6E" w:rsidRPr="00842FE5">
        <w:rPr>
          <w:rFonts w:ascii="Times New Roman" w:hAnsi="Times New Roman" w:cs="Times New Roman"/>
          <w:color w:val="0D0D0D" w:themeColor="text1" w:themeTint="F2"/>
          <w:sz w:val="24"/>
          <w:szCs w:val="24"/>
        </w:rPr>
        <w:t xml:space="preserve"> [19]</w:t>
      </w:r>
      <w:r w:rsidR="007C4949" w:rsidRPr="00842FE5">
        <w:rPr>
          <w:rFonts w:ascii="Times New Roman" w:hAnsi="Times New Roman" w:cs="Times New Roman"/>
          <w:color w:val="0D0D0D" w:themeColor="text1" w:themeTint="F2"/>
          <w:sz w:val="24"/>
          <w:szCs w:val="24"/>
        </w:rPr>
        <w:t xml:space="preserve">. </w:t>
      </w:r>
      <w:r w:rsidR="001B78A9" w:rsidRPr="00842FE5">
        <w:rPr>
          <w:rFonts w:ascii="Times New Roman" w:hAnsi="Times New Roman" w:cs="Times New Roman"/>
          <w:color w:val="0D0D0D" w:themeColor="text1" w:themeTint="F2"/>
          <w:sz w:val="24"/>
          <w:szCs w:val="24"/>
        </w:rPr>
        <w:t xml:space="preserve">TRANSITION 2 </w:t>
      </w:r>
      <w:r w:rsidR="005D1386" w:rsidRPr="00842FE5">
        <w:rPr>
          <w:rFonts w:ascii="Times New Roman" w:hAnsi="Times New Roman" w:cs="Times New Roman"/>
          <w:color w:val="0D0D0D" w:themeColor="text1" w:themeTint="F2"/>
          <w:sz w:val="24"/>
          <w:szCs w:val="24"/>
        </w:rPr>
        <w:lastRenderedPageBreak/>
        <w:t>was a</w:t>
      </w:r>
      <w:r w:rsidR="00700880" w:rsidRPr="00842FE5">
        <w:rPr>
          <w:rFonts w:ascii="Times New Roman" w:hAnsi="Times New Roman" w:cs="Times New Roman"/>
          <w:color w:val="0D0D0D" w:themeColor="text1" w:themeTint="F2"/>
          <w:sz w:val="24"/>
          <w:szCs w:val="24"/>
        </w:rPr>
        <w:t xml:space="preserve"> single</w:t>
      </w:r>
      <w:r w:rsidR="000401AB" w:rsidRPr="00842FE5">
        <w:rPr>
          <w:rFonts w:ascii="Times New Roman" w:hAnsi="Times New Roman" w:cs="Times New Roman"/>
          <w:color w:val="0D0D0D" w:themeColor="text1" w:themeTint="F2"/>
          <w:sz w:val="24"/>
          <w:szCs w:val="24"/>
        </w:rPr>
        <w:t xml:space="preserve"> country, </w:t>
      </w:r>
      <w:r w:rsidR="004B3374" w:rsidRPr="00842FE5">
        <w:rPr>
          <w:rFonts w:ascii="Times New Roman" w:hAnsi="Times New Roman" w:cs="Times New Roman"/>
          <w:color w:val="0D0D0D" w:themeColor="text1" w:themeTint="F2"/>
          <w:sz w:val="24"/>
          <w:szCs w:val="24"/>
        </w:rPr>
        <w:t>interventional</w:t>
      </w:r>
      <w:r w:rsidR="000401AB" w:rsidRPr="00842FE5">
        <w:rPr>
          <w:rFonts w:ascii="Times New Roman" w:hAnsi="Times New Roman" w:cs="Times New Roman"/>
          <w:color w:val="0D0D0D" w:themeColor="text1" w:themeTint="F2"/>
          <w:sz w:val="24"/>
          <w:szCs w:val="24"/>
        </w:rPr>
        <w:t>,</w:t>
      </w:r>
      <w:r w:rsidR="004B3374" w:rsidRPr="00842FE5">
        <w:rPr>
          <w:rFonts w:ascii="Times New Roman" w:hAnsi="Times New Roman" w:cs="Times New Roman"/>
          <w:color w:val="0D0D0D" w:themeColor="text1" w:themeTint="F2"/>
          <w:sz w:val="24"/>
          <w:szCs w:val="24"/>
        </w:rPr>
        <w:t xml:space="preserve"> </w:t>
      </w:r>
      <w:r w:rsidR="00A8309E" w:rsidRPr="00842FE5">
        <w:rPr>
          <w:rFonts w:ascii="Times New Roman" w:hAnsi="Times New Roman" w:cs="Times New Roman"/>
          <w:color w:val="0D0D0D" w:themeColor="text1" w:themeTint="F2"/>
          <w:sz w:val="24"/>
          <w:szCs w:val="24"/>
        </w:rPr>
        <w:t>single-arm</w:t>
      </w:r>
      <w:r w:rsidR="000401AB" w:rsidRPr="00842FE5">
        <w:rPr>
          <w:rFonts w:ascii="Times New Roman" w:hAnsi="Times New Roman" w:cs="Times New Roman"/>
          <w:color w:val="0D0D0D" w:themeColor="text1" w:themeTint="F2"/>
          <w:sz w:val="24"/>
          <w:szCs w:val="24"/>
        </w:rPr>
        <w:t>,</w:t>
      </w:r>
      <w:r w:rsidR="00A8309E" w:rsidRPr="00842FE5">
        <w:rPr>
          <w:rFonts w:ascii="Times New Roman" w:hAnsi="Times New Roman" w:cs="Times New Roman"/>
          <w:color w:val="0D0D0D" w:themeColor="text1" w:themeTint="F2"/>
          <w:sz w:val="24"/>
          <w:szCs w:val="24"/>
        </w:rPr>
        <w:t xml:space="preserve"> </w:t>
      </w:r>
      <w:r w:rsidR="005D1386" w:rsidRPr="00842FE5">
        <w:rPr>
          <w:rFonts w:ascii="Times New Roman" w:hAnsi="Times New Roman" w:cs="Times New Roman"/>
          <w:color w:val="0D0D0D" w:themeColor="text1" w:themeTint="F2"/>
          <w:sz w:val="24"/>
          <w:szCs w:val="24"/>
        </w:rPr>
        <w:t xml:space="preserve">phase </w:t>
      </w:r>
      <w:r w:rsidR="008C5BC9" w:rsidRPr="00842FE5">
        <w:rPr>
          <w:rFonts w:ascii="Times New Roman" w:hAnsi="Times New Roman" w:cs="Times New Roman"/>
          <w:color w:val="0D0D0D" w:themeColor="text1" w:themeTint="F2"/>
          <w:sz w:val="24"/>
          <w:szCs w:val="24"/>
        </w:rPr>
        <w:t xml:space="preserve">IV </w:t>
      </w:r>
      <w:r w:rsidR="00A8309E" w:rsidRPr="00842FE5">
        <w:rPr>
          <w:rFonts w:ascii="Times New Roman" w:hAnsi="Times New Roman" w:cs="Times New Roman"/>
          <w:color w:val="0D0D0D" w:themeColor="text1" w:themeTint="F2"/>
          <w:sz w:val="24"/>
          <w:szCs w:val="24"/>
        </w:rPr>
        <w:t xml:space="preserve">study to evaluate the efficacy and safety </w:t>
      </w:r>
      <w:r w:rsidR="008C5BC9" w:rsidRPr="00842FE5">
        <w:rPr>
          <w:rFonts w:ascii="Times New Roman" w:hAnsi="Times New Roman" w:cs="Times New Roman"/>
          <w:color w:val="0D0D0D" w:themeColor="text1" w:themeTint="F2"/>
          <w:sz w:val="24"/>
          <w:szCs w:val="24"/>
        </w:rPr>
        <w:t xml:space="preserve">of </w:t>
      </w:r>
      <w:r w:rsidR="00A276A8" w:rsidRPr="00842FE5">
        <w:rPr>
          <w:rFonts w:ascii="Times New Roman" w:hAnsi="Times New Roman" w:cs="Times New Roman"/>
          <w:color w:val="0D0D0D" w:themeColor="text1" w:themeTint="F2"/>
          <w:sz w:val="24"/>
          <w:szCs w:val="24"/>
        </w:rPr>
        <w:t xml:space="preserve">Gla-300 in </w:t>
      </w:r>
      <w:r w:rsidR="008C5BC9" w:rsidRPr="00842FE5">
        <w:rPr>
          <w:rFonts w:ascii="Times New Roman" w:hAnsi="Times New Roman" w:cs="Times New Roman"/>
          <w:color w:val="0D0D0D" w:themeColor="text1" w:themeTint="F2"/>
          <w:sz w:val="24"/>
          <w:szCs w:val="24"/>
        </w:rPr>
        <w:t xml:space="preserve">people </w:t>
      </w:r>
      <w:r w:rsidR="00A276A8" w:rsidRPr="00842FE5">
        <w:rPr>
          <w:rFonts w:ascii="Times New Roman" w:hAnsi="Times New Roman" w:cs="Times New Roman"/>
          <w:color w:val="0D0D0D" w:themeColor="text1" w:themeTint="F2"/>
          <w:sz w:val="24"/>
          <w:szCs w:val="24"/>
        </w:rPr>
        <w:t>with suboptimal glucose control on BI with or without OADs</w:t>
      </w:r>
      <w:r w:rsidR="008A0E6E" w:rsidRPr="00842FE5">
        <w:rPr>
          <w:rFonts w:ascii="Times New Roman" w:hAnsi="Times New Roman" w:cs="Times New Roman"/>
          <w:color w:val="0D0D0D" w:themeColor="text1" w:themeTint="F2"/>
          <w:sz w:val="24"/>
          <w:szCs w:val="24"/>
        </w:rPr>
        <w:t xml:space="preserve"> [20]</w:t>
      </w:r>
      <w:r w:rsidR="00401CF9" w:rsidRPr="00842FE5">
        <w:rPr>
          <w:rFonts w:ascii="Times New Roman" w:hAnsi="Times New Roman" w:cs="Times New Roman"/>
          <w:color w:val="0D0D0D" w:themeColor="text1" w:themeTint="F2"/>
          <w:sz w:val="24"/>
          <w:szCs w:val="24"/>
        </w:rPr>
        <w:t xml:space="preserve">. </w:t>
      </w:r>
      <w:r w:rsidR="001A5FB9" w:rsidRPr="00842FE5">
        <w:rPr>
          <w:rFonts w:ascii="Times New Roman" w:hAnsi="Times New Roman" w:cs="Times New Roman"/>
          <w:color w:val="0D0D0D" w:themeColor="text1" w:themeTint="F2"/>
          <w:sz w:val="24"/>
          <w:szCs w:val="24"/>
        </w:rPr>
        <w:t xml:space="preserve">Further, </w:t>
      </w:r>
      <w:r w:rsidR="006D3269" w:rsidRPr="00842FE5">
        <w:rPr>
          <w:rFonts w:ascii="Times New Roman" w:hAnsi="Times New Roman" w:cs="Times New Roman"/>
          <w:color w:val="0D0D0D" w:themeColor="text1" w:themeTint="F2"/>
          <w:sz w:val="24"/>
          <w:szCs w:val="24"/>
        </w:rPr>
        <w:t xml:space="preserve">the </w:t>
      </w:r>
      <w:r w:rsidR="0020613C" w:rsidRPr="00842FE5">
        <w:rPr>
          <w:rFonts w:ascii="Times New Roman" w:hAnsi="Times New Roman" w:cs="Times New Roman"/>
          <w:color w:val="0D0D0D" w:themeColor="text1" w:themeTint="F2"/>
          <w:sz w:val="24"/>
          <w:szCs w:val="24"/>
        </w:rPr>
        <w:t>DELIVER 2</w:t>
      </w:r>
      <w:r w:rsidR="00F65EA6" w:rsidRPr="00842FE5">
        <w:rPr>
          <w:rFonts w:ascii="Times New Roman" w:hAnsi="Times New Roman" w:cs="Times New Roman"/>
          <w:color w:val="0D0D0D" w:themeColor="text1" w:themeTint="F2"/>
          <w:sz w:val="24"/>
          <w:szCs w:val="24"/>
        </w:rPr>
        <w:t xml:space="preserve"> study was</w:t>
      </w:r>
      <w:r w:rsidR="0020613C" w:rsidRPr="00842FE5">
        <w:rPr>
          <w:rFonts w:ascii="Times New Roman" w:hAnsi="Times New Roman" w:cs="Times New Roman"/>
          <w:color w:val="0D0D0D" w:themeColor="text1" w:themeTint="F2"/>
          <w:sz w:val="24"/>
          <w:szCs w:val="24"/>
        </w:rPr>
        <w:t xml:space="preserve"> a retrospective </w:t>
      </w:r>
      <w:r w:rsidR="0071027D">
        <w:rPr>
          <w:rFonts w:ascii="Times New Roman" w:hAnsi="Times New Roman" w:cs="Times New Roman"/>
          <w:color w:val="0D0D0D" w:themeColor="text1" w:themeTint="F2"/>
          <w:sz w:val="24"/>
          <w:szCs w:val="24"/>
        </w:rPr>
        <w:t>RWE</w:t>
      </w:r>
      <w:r w:rsidR="001A5FB9" w:rsidRPr="00842FE5">
        <w:rPr>
          <w:rFonts w:ascii="Times New Roman" w:hAnsi="Times New Roman" w:cs="Times New Roman"/>
          <w:color w:val="0D0D0D" w:themeColor="text1" w:themeTint="F2"/>
          <w:sz w:val="24"/>
          <w:szCs w:val="24"/>
        </w:rPr>
        <w:t xml:space="preserve"> </w:t>
      </w:r>
      <w:r w:rsidR="0020613C" w:rsidRPr="00842FE5">
        <w:rPr>
          <w:rFonts w:ascii="Times New Roman" w:hAnsi="Times New Roman" w:cs="Times New Roman"/>
          <w:color w:val="0D0D0D" w:themeColor="text1" w:themeTint="F2"/>
          <w:sz w:val="24"/>
          <w:szCs w:val="24"/>
        </w:rPr>
        <w:t xml:space="preserve">study </w:t>
      </w:r>
      <w:r w:rsidR="001A5FB9" w:rsidRPr="00842FE5">
        <w:rPr>
          <w:rFonts w:ascii="Times New Roman" w:hAnsi="Times New Roman" w:cs="Times New Roman"/>
          <w:color w:val="0D0D0D" w:themeColor="text1" w:themeTint="F2"/>
          <w:sz w:val="24"/>
          <w:szCs w:val="24"/>
        </w:rPr>
        <w:t xml:space="preserve">in </w:t>
      </w:r>
      <w:r w:rsidR="0020613C" w:rsidRPr="00842FE5">
        <w:rPr>
          <w:rFonts w:ascii="Times New Roman" w:hAnsi="Times New Roman" w:cs="Times New Roman"/>
          <w:color w:val="0D0D0D" w:themeColor="text1" w:themeTint="F2"/>
          <w:sz w:val="24"/>
          <w:szCs w:val="24"/>
        </w:rPr>
        <w:t xml:space="preserve">US population </w:t>
      </w:r>
      <w:r w:rsidR="000401AB" w:rsidRPr="00842FE5">
        <w:rPr>
          <w:rFonts w:ascii="Times New Roman" w:hAnsi="Times New Roman" w:cs="Times New Roman"/>
          <w:color w:val="0D0D0D" w:themeColor="text1" w:themeTint="F2"/>
          <w:sz w:val="24"/>
          <w:szCs w:val="24"/>
        </w:rPr>
        <w:t xml:space="preserve">that </w:t>
      </w:r>
      <w:r w:rsidR="00A71006" w:rsidRPr="00842FE5">
        <w:rPr>
          <w:rFonts w:ascii="Times New Roman" w:hAnsi="Times New Roman" w:cs="Times New Roman"/>
          <w:color w:val="0D0D0D" w:themeColor="text1" w:themeTint="F2"/>
          <w:sz w:val="24"/>
          <w:szCs w:val="24"/>
        </w:rPr>
        <w:t>investigat</w:t>
      </w:r>
      <w:r w:rsidR="001A5FB9" w:rsidRPr="00842FE5">
        <w:rPr>
          <w:rFonts w:ascii="Times New Roman" w:hAnsi="Times New Roman" w:cs="Times New Roman"/>
          <w:color w:val="0D0D0D" w:themeColor="text1" w:themeTint="F2"/>
          <w:sz w:val="24"/>
          <w:szCs w:val="24"/>
        </w:rPr>
        <w:t>ed</w:t>
      </w:r>
      <w:r w:rsidR="00A71006" w:rsidRPr="00842FE5">
        <w:rPr>
          <w:rFonts w:ascii="Times New Roman" w:hAnsi="Times New Roman" w:cs="Times New Roman"/>
          <w:color w:val="0D0D0D" w:themeColor="text1" w:themeTint="F2"/>
          <w:sz w:val="24"/>
          <w:szCs w:val="24"/>
        </w:rPr>
        <w:t xml:space="preserve"> </w:t>
      </w:r>
      <w:r w:rsidR="00907215" w:rsidRPr="00842FE5">
        <w:rPr>
          <w:rFonts w:ascii="Times New Roman" w:hAnsi="Times New Roman" w:cs="Times New Roman"/>
          <w:color w:val="0D0D0D" w:themeColor="text1" w:themeTint="F2"/>
          <w:sz w:val="24"/>
          <w:szCs w:val="24"/>
        </w:rPr>
        <w:t xml:space="preserve">the effects of BI switch (to Gla-300 or another BI) in </w:t>
      </w:r>
      <w:r w:rsidR="0071027D">
        <w:rPr>
          <w:rFonts w:ascii="Times New Roman" w:hAnsi="Times New Roman" w:cs="Times New Roman"/>
          <w:color w:val="0D0D0D" w:themeColor="text1" w:themeTint="F2"/>
          <w:sz w:val="24"/>
          <w:szCs w:val="24"/>
        </w:rPr>
        <w:t>people</w:t>
      </w:r>
      <w:r w:rsidR="00907215" w:rsidRPr="00842FE5">
        <w:rPr>
          <w:rFonts w:ascii="Times New Roman" w:hAnsi="Times New Roman" w:cs="Times New Roman"/>
          <w:color w:val="0D0D0D" w:themeColor="text1" w:themeTint="F2"/>
          <w:sz w:val="24"/>
          <w:szCs w:val="24"/>
        </w:rPr>
        <w:t xml:space="preserve"> with</w:t>
      </w:r>
      <w:r w:rsidR="00387AA3" w:rsidRPr="00842FE5">
        <w:rPr>
          <w:rFonts w:ascii="Times New Roman" w:hAnsi="Times New Roman" w:cs="Times New Roman"/>
          <w:color w:val="0D0D0D" w:themeColor="text1" w:themeTint="F2"/>
          <w:sz w:val="24"/>
          <w:szCs w:val="24"/>
        </w:rPr>
        <w:t xml:space="preserve"> uncontrolled T2D</w:t>
      </w:r>
      <w:r w:rsidR="00F238D3" w:rsidRPr="00842FE5">
        <w:rPr>
          <w:rFonts w:ascii="Times New Roman" w:hAnsi="Times New Roman" w:cs="Times New Roman"/>
          <w:color w:val="0D0D0D" w:themeColor="text1" w:themeTint="F2"/>
          <w:sz w:val="24"/>
          <w:szCs w:val="24"/>
        </w:rPr>
        <w:t>M</w:t>
      </w:r>
      <w:r w:rsidR="00ED43A8" w:rsidRPr="00842FE5">
        <w:rPr>
          <w:rFonts w:ascii="Times New Roman" w:hAnsi="Times New Roman" w:cs="Times New Roman"/>
          <w:color w:val="0D0D0D" w:themeColor="text1" w:themeTint="F2"/>
          <w:sz w:val="24"/>
          <w:szCs w:val="24"/>
        </w:rPr>
        <w:t xml:space="preserve"> [21]</w:t>
      </w:r>
      <w:r w:rsidR="00907215" w:rsidRPr="00842FE5">
        <w:rPr>
          <w:rFonts w:ascii="Times New Roman" w:hAnsi="Times New Roman" w:cs="Times New Roman"/>
          <w:color w:val="0D0D0D" w:themeColor="text1" w:themeTint="F2"/>
          <w:sz w:val="24"/>
          <w:szCs w:val="24"/>
        </w:rPr>
        <w:t>.</w:t>
      </w:r>
      <w:r w:rsidR="006A1821" w:rsidRPr="00842FE5">
        <w:rPr>
          <w:rFonts w:ascii="Times New Roman" w:hAnsi="Times New Roman" w:cs="Times New Roman"/>
          <w:color w:val="0D0D0D" w:themeColor="text1" w:themeTint="F2"/>
          <w:sz w:val="24"/>
          <w:szCs w:val="24"/>
        </w:rPr>
        <w:t xml:space="preserve"> </w:t>
      </w:r>
    </w:p>
    <w:p w14:paraId="13FE5585" w14:textId="6DA4E169" w:rsidR="00A654BC" w:rsidRDefault="00596028" w:rsidP="003858C4">
      <w:pPr>
        <w:tabs>
          <w:tab w:val="left" w:pos="709"/>
        </w:tabs>
        <w:spacing w:line="480" w:lineRule="auto"/>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The ARTEMIS-DM study</w:t>
      </w:r>
      <w:r w:rsidR="007115C8" w:rsidRPr="00842FE5">
        <w:rPr>
          <w:rFonts w:ascii="Times New Roman" w:hAnsi="Times New Roman" w:cs="Times New Roman"/>
          <w:color w:val="0D0D0D" w:themeColor="text1" w:themeTint="F2"/>
          <w:sz w:val="24"/>
          <w:szCs w:val="24"/>
        </w:rPr>
        <w:t xml:space="preserve"> </w:t>
      </w:r>
      <w:r w:rsidR="005847CF" w:rsidRPr="00842FE5">
        <w:rPr>
          <w:rFonts w:ascii="Times New Roman" w:hAnsi="Times New Roman" w:cs="Times New Roman"/>
          <w:color w:val="0D0D0D" w:themeColor="text1" w:themeTint="F2"/>
          <w:sz w:val="24"/>
          <w:szCs w:val="24"/>
          <w:lang w:val="en-US"/>
        </w:rPr>
        <w:t>demonstrated</w:t>
      </w:r>
      <w:r w:rsidR="00EE75BD" w:rsidRPr="00842FE5">
        <w:rPr>
          <w:rFonts w:ascii="Times New Roman" w:hAnsi="Times New Roman" w:cs="Times New Roman"/>
          <w:color w:val="0D0D0D" w:themeColor="text1" w:themeTint="F2"/>
          <w:sz w:val="24"/>
          <w:szCs w:val="24"/>
          <w:lang w:val="en-US"/>
        </w:rPr>
        <w:t xml:space="preserve"> reduction in HbA</w:t>
      </w:r>
      <w:r w:rsidR="00EE75BD" w:rsidRPr="00842FE5">
        <w:rPr>
          <w:rFonts w:ascii="Times New Roman" w:hAnsi="Times New Roman" w:cs="Times New Roman"/>
          <w:color w:val="0D0D0D" w:themeColor="text1" w:themeTint="F2"/>
          <w:sz w:val="24"/>
          <w:szCs w:val="24"/>
          <w:vertAlign w:val="subscript"/>
          <w:lang w:val="en-US"/>
        </w:rPr>
        <w:t xml:space="preserve">1c </w:t>
      </w:r>
      <w:r w:rsidR="00EE75BD" w:rsidRPr="00842FE5">
        <w:rPr>
          <w:rFonts w:ascii="Times New Roman" w:hAnsi="Times New Roman" w:cs="Times New Roman"/>
          <w:color w:val="0D0D0D" w:themeColor="text1" w:themeTint="F2"/>
          <w:sz w:val="24"/>
          <w:szCs w:val="24"/>
          <w:lang w:val="en-US"/>
        </w:rPr>
        <w:t xml:space="preserve">from </w:t>
      </w:r>
      <w:r w:rsidR="006D3269" w:rsidRPr="00842FE5">
        <w:rPr>
          <w:rFonts w:ascii="Times New Roman" w:hAnsi="Times New Roman" w:cs="Times New Roman"/>
          <w:color w:val="0D0D0D" w:themeColor="text1" w:themeTint="F2"/>
          <w:sz w:val="24"/>
          <w:szCs w:val="24"/>
        </w:rPr>
        <w:t xml:space="preserve">8.67% at </w:t>
      </w:r>
      <w:r w:rsidR="00EE75BD" w:rsidRPr="00842FE5">
        <w:rPr>
          <w:rFonts w:ascii="Times New Roman" w:hAnsi="Times New Roman" w:cs="Times New Roman"/>
          <w:color w:val="0D0D0D" w:themeColor="text1" w:themeTint="F2"/>
          <w:sz w:val="24"/>
          <w:szCs w:val="24"/>
          <w:lang w:val="en-US"/>
        </w:rPr>
        <w:t xml:space="preserve">baseline to </w:t>
      </w:r>
      <w:r w:rsidR="00022DDF" w:rsidRPr="00842FE5">
        <w:rPr>
          <w:rFonts w:ascii="Times New Roman" w:hAnsi="Times New Roman" w:cs="Times New Roman"/>
          <w:color w:val="0D0D0D" w:themeColor="text1" w:themeTint="F2"/>
          <w:sz w:val="24"/>
          <w:szCs w:val="24"/>
        </w:rPr>
        <w:t xml:space="preserve">7.87% </w:t>
      </w:r>
      <w:r w:rsidR="00CF103C" w:rsidRPr="00842FE5">
        <w:rPr>
          <w:rFonts w:ascii="Times New Roman" w:hAnsi="Times New Roman" w:cs="Times New Roman"/>
          <w:color w:val="0D0D0D" w:themeColor="text1" w:themeTint="F2"/>
          <w:sz w:val="24"/>
          <w:szCs w:val="24"/>
        </w:rPr>
        <w:t xml:space="preserve">at Week 26 </w:t>
      </w:r>
      <w:r w:rsidR="006C618F" w:rsidRPr="00842FE5">
        <w:rPr>
          <w:rFonts w:ascii="Times New Roman" w:hAnsi="Times New Roman" w:cs="Times New Roman"/>
          <w:color w:val="0D0D0D" w:themeColor="text1" w:themeTint="F2"/>
          <w:sz w:val="24"/>
          <w:szCs w:val="24"/>
          <w:lang w:val="en-US"/>
        </w:rPr>
        <w:t xml:space="preserve">with </w:t>
      </w:r>
      <w:r w:rsidR="00A32081" w:rsidRPr="00842FE5">
        <w:rPr>
          <w:rFonts w:ascii="Times New Roman" w:hAnsi="Times New Roman" w:cs="Times New Roman"/>
          <w:color w:val="0D0D0D" w:themeColor="text1" w:themeTint="F2"/>
          <w:sz w:val="24"/>
          <w:szCs w:val="24"/>
          <w:lang w:val="en-US"/>
        </w:rPr>
        <w:t xml:space="preserve">a </w:t>
      </w:r>
      <w:r w:rsidR="001E5058" w:rsidRPr="00842FE5">
        <w:rPr>
          <w:rFonts w:ascii="Times New Roman" w:hAnsi="Times New Roman" w:cs="Times New Roman"/>
          <w:color w:val="0D0D0D" w:themeColor="text1" w:themeTint="F2"/>
          <w:sz w:val="24"/>
          <w:szCs w:val="24"/>
          <w:lang w:val="en-US"/>
        </w:rPr>
        <w:t xml:space="preserve">change </w:t>
      </w:r>
      <w:r w:rsidR="006D3269" w:rsidRPr="00842FE5">
        <w:rPr>
          <w:rFonts w:ascii="Times New Roman" w:hAnsi="Times New Roman" w:cs="Times New Roman"/>
          <w:color w:val="0D0D0D" w:themeColor="text1" w:themeTint="F2"/>
          <w:sz w:val="24"/>
          <w:szCs w:val="24"/>
          <w:lang w:val="en-US"/>
        </w:rPr>
        <w:t xml:space="preserve">of </w:t>
      </w:r>
      <w:r w:rsidR="008F6E94" w:rsidRPr="00842FE5">
        <w:rPr>
          <w:rFonts w:ascii="Times New Roman" w:hAnsi="Times New Roman" w:cs="Times New Roman"/>
          <w:color w:val="0D0D0D" w:themeColor="text1" w:themeTint="F2"/>
          <w:sz w:val="24"/>
          <w:szCs w:val="24"/>
        </w:rPr>
        <w:t>−0.82%</w:t>
      </w:r>
      <w:r w:rsidR="0007440D" w:rsidRPr="00842FE5">
        <w:rPr>
          <w:rFonts w:ascii="Times New Roman" w:hAnsi="Times New Roman" w:cs="Times New Roman"/>
          <w:color w:val="0D0D0D" w:themeColor="text1" w:themeTint="F2"/>
          <w:sz w:val="24"/>
          <w:szCs w:val="24"/>
        </w:rPr>
        <w:t xml:space="preserve"> </w:t>
      </w:r>
      <w:r w:rsidR="0007440D" w:rsidRPr="00842FE5">
        <w:rPr>
          <w:rFonts w:ascii="Times New Roman" w:hAnsi="Times New Roman" w:cs="Times New Roman"/>
          <w:color w:val="0D0D0D" w:themeColor="text1" w:themeTint="F2"/>
          <w:sz w:val="24"/>
          <w:szCs w:val="24"/>
          <w:lang w:val="en-US"/>
        </w:rPr>
        <w:t>from baseline</w:t>
      </w:r>
      <w:r w:rsidR="00CF103C" w:rsidRPr="00842FE5">
        <w:rPr>
          <w:rFonts w:ascii="Times New Roman" w:hAnsi="Times New Roman" w:cs="Times New Roman"/>
          <w:color w:val="0D0D0D" w:themeColor="text1" w:themeTint="F2"/>
          <w:sz w:val="24"/>
          <w:szCs w:val="24"/>
        </w:rPr>
        <w:t>.</w:t>
      </w:r>
      <w:r w:rsidR="001E5058" w:rsidRPr="00842FE5">
        <w:rPr>
          <w:rFonts w:ascii="Times New Roman" w:hAnsi="Times New Roman" w:cs="Times New Roman"/>
          <w:color w:val="0D0D0D" w:themeColor="text1" w:themeTint="F2"/>
          <w:sz w:val="24"/>
          <w:szCs w:val="24"/>
        </w:rPr>
        <w:t xml:space="preserve"> </w:t>
      </w:r>
      <w:r w:rsidR="00A01224" w:rsidRPr="00842FE5">
        <w:rPr>
          <w:rFonts w:ascii="Times New Roman" w:hAnsi="Times New Roman" w:cs="Times New Roman"/>
          <w:color w:val="0D0D0D" w:themeColor="text1" w:themeTint="F2"/>
          <w:sz w:val="24"/>
          <w:szCs w:val="24"/>
        </w:rPr>
        <w:t xml:space="preserve">The </w:t>
      </w:r>
      <w:r w:rsidR="002B7057" w:rsidRPr="00842FE5">
        <w:rPr>
          <w:rFonts w:ascii="Times New Roman" w:hAnsi="Times New Roman" w:cs="Times New Roman"/>
          <w:color w:val="0D0D0D" w:themeColor="text1" w:themeTint="F2"/>
          <w:sz w:val="24"/>
          <w:szCs w:val="24"/>
        </w:rPr>
        <w:t>HbA</w:t>
      </w:r>
      <w:r w:rsidR="002B7057" w:rsidRPr="00842FE5">
        <w:rPr>
          <w:rFonts w:ascii="Times New Roman" w:hAnsi="Times New Roman" w:cs="Times New Roman"/>
          <w:color w:val="0D0D0D" w:themeColor="text1" w:themeTint="F2"/>
          <w:sz w:val="24"/>
          <w:szCs w:val="24"/>
          <w:vertAlign w:val="subscript"/>
        </w:rPr>
        <w:t xml:space="preserve">1c </w:t>
      </w:r>
      <w:r w:rsidR="00411830" w:rsidRPr="00842FE5">
        <w:rPr>
          <w:rFonts w:ascii="Times New Roman" w:hAnsi="Times New Roman" w:cs="Times New Roman"/>
          <w:color w:val="0D0D0D" w:themeColor="text1" w:themeTint="F2"/>
          <w:sz w:val="24"/>
          <w:szCs w:val="24"/>
        </w:rPr>
        <w:t>reduction</w:t>
      </w:r>
      <w:r w:rsidR="00411830" w:rsidRPr="00842FE5">
        <w:rPr>
          <w:rFonts w:ascii="Times New Roman" w:hAnsi="Times New Roman" w:cs="Times New Roman"/>
          <w:color w:val="0D0D0D" w:themeColor="text1" w:themeTint="F2"/>
          <w:sz w:val="24"/>
          <w:szCs w:val="24"/>
          <w:vertAlign w:val="subscript"/>
        </w:rPr>
        <w:t xml:space="preserve"> </w:t>
      </w:r>
      <w:r w:rsidR="00411830" w:rsidRPr="00842FE5">
        <w:rPr>
          <w:rFonts w:ascii="Times New Roman" w:hAnsi="Times New Roman" w:cs="Times New Roman"/>
          <w:color w:val="0D0D0D" w:themeColor="text1" w:themeTint="F2"/>
          <w:sz w:val="24"/>
          <w:szCs w:val="24"/>
        </w:rPr>
        <w:t>observed</w:t>
      </w:r>
      <w:r w:rsidR="009F2632" w:rsidRPr="00842FE5">
        <w:rPr>
          <w:rFonts w:ascii="Times New Roman" w:hAnsi="Times New Roman" w:cs="Times New Roman"/>
          <w:color w:val="0D0D0D" w:themeColor="text1" w:themeTint="F2"/>
          <w:sz w:val="24"/>
          <w:szCs w:val="24"/>
        </w:rPr>
        <w:t xml:space="preserve"> at Week 26 in </w:t>
      </w:r>
      <w:r w:rsidR="0007440D" w:rsidRPr="00842FE5">
        <w:rPr>
          <w:rFonts w:ascii="Times New Roman" w:hAnsi="Times New Roman" w:cs="Times New Roman"/>
          <w:color w:val="0D0D0D" w:themeColor="text1" w:themeTint="F2"/>
          <w:sz w:val="24"/>
          <w:szCs w:val="24"/>
        </w:rPr>
        <w:t xml:space="preserve">the </w:t>
      </w:r>
      <w:r w:rsidR="009F2632" w:rsidRPr="00842FE5">
        <w:rPr>
          <w:rFonts w:ascii="Times New Roman" w:hAnsi="Times New Roman" w:cs="Times New Roman"/>
          <w:color w:val="0D0D0D" w:themeColor="text1" w:themeTint="F2"/>
          <w:sz w:val="24"/>
          <w:szCs w:val="24"/>
        </w:rPr>
        <w:t>ARTEMIS</w:t>
      </w:r>
      <w:r w:rsidR="00E40D96" w:rsidRPr="00842FE5">
        <w:rPr>
          <w:rFonts w:ascii="Times New Roman" w:hAnsi="Times New Roman" w:cs="Times New Roman"/>
          <w:color w:val="0D0D0D" w:themeColor="text1" w:themeTint="F2"/>
          <w:sz w:val="24"/>
          <w:szCs w:val="24"/>
        </w:rPr>
        <w:t>-DM</w:t>
      </w:r>
      <w:r w:rsidR="0007440D" w:rsidRPr="00842FE5">
        <w:rPr>
          <w:rFonts w:ascii="Times New Roman" w:hAnsi="Times New Roman" w:cs="Times New Roman"/>
          <w:color w:val="0D0D0D" w:themeColor="text1" w:themeTint="F2"/>
          <w:sz w:val="24"/>
          <w:szCs w:val="24"/>
        </w:rPr>
        <w:t xml:space="preserve"> study</w:t>
      </w:r>
      <w:r w:rsidR="00AB3F7F" w:rsidRPr="00842FE5">
        <w:rPr>
          <w:rFonts w:ascii="Times New Roman" w:hAnsi="Times New Roman" w:cs="Times New Roman"/>
          <w:color w:val="0D0D0D" w:themeColor="text1" w:themeTint="F2"/>
          <w:sz w:val="24"/>
          <w:szCs w:val="24"/>
        </w:rPr>
        <w:t xml:space="preserve"> </w:t>
      </w:r>
      <w:r w:rsidR="00BE7410" w:rsidRPr="00842FE5">
        <w:rPr>
          <w:rFonts w:ascii="Times New Roman" w:hAnsi="Times New Roman" w:cs="Times New Roman"/>
          <w:color w:val="0D0D0D" w:themeColor="text1" w:themeTint="F2"/>
          <w:sz w:val="24"/>
          <w:szCs w:val="24"/>
        </w:rPr>
        <w:t xml:space="preserve">was greater than </w:t>
      </w:r>
      <w:r w:rsidR="00B45C0C" w:rsidRPr="00842FE5">
        <w:rPr>
          <w:rFonts w:ascii="Times New Roman" w:hAnsi="Times New Roman" w:cs="Times New Roman"/>
          <w:color w:val="0D0D0D" w:themeColor="text1" w:themeTint="F2"/>
          <w:sz w:val="24"/>
          <w:szCs w:val="24"/>
        </w:rPr>
        <w:t xml:space="preserve">that </w:t>
      </w:r>
      <w:r w:rsidR="00C63AD5" w:rsidRPr="00842FE5">
        <w:rPr>
          <w:rFonts w:ascii="Times New Roman" w:hAnsi="Times New Roman" w:cs="Times New Roman"/>
          <w:color w:val="0D0D0D" w:themeColor="text1" w:themeTint="F2"/>
          <w:sz w:val="24"/>
          <w:szCs w:val="24"/>
        </w:rPr>
        <w:t>reported in the Gla-300 arm</w:t>
      </w:r>
      <w:r w:rsidR="00C63AD5" w:rsidRPr="00842FE5" w:rsidDel="00925A37">
        <w:rPr>
          <w:rFonts w:ascii="Times New Roman" w:hAnsi="Times New Roman" w:cs="Times New Roman"/>
          <w:color w:val="0D0D0D" w:themeColor="text1" w:themeTint="F2"/>
          <w:sz w:val="24"/>
          <w:szCs w:val="24"/>
        </w:rPr>
        <w:t xml:space="preserve"> </w:t>
      </w:r>
      <w:r w:rsidR="00C63AD5" w:rsidRPr="00842FE5">
        <w:rPr>
          <w:rFonts w:ascii="Times New Roman" w:hAnsi="Times New Roman" w:cs="Times New Roman"/>
          <w:color w:val="0D0D0D" w:themeColor="text1" w:themeTint="F2"/>
          <w:sz w:val="24"/>
          <w:szCs w:val="24"/>
        </w:rPr>
        <w:t xml:space="preserve">of </w:t>
      </w:r>
      <w:r w:rsidR="0007440D" w:rsidRPr="00842FE5">
        <w:rPr>
          <w:rFonts w:ascii="Times New Roman" w:hAnsi="Times New Roman" w:cs="Times New Roman"/>
          <w:color w:val="0D0D0D" w:themeColor="text1" w:themeTint="F2"/>
          <w:sz w:val="24"/>
          <w:szCs w:val="24"/>
        </w:rPr>
        <w:t xml:space="preserve">the </w:t>
      </w:r>
      <w:r w:rsidR="00AB3F7F" w:rsidRPr="00842FE5">
        <w:rPr>
          <w:rFonts w:ascii="Times New Roman" w:hAnsi="Times New Roman" w:cs="Times New Roman"/>
          <w:color w:val="0D0D0D" w:themeColor="text1" w:themeTint="F2"/>
          <w:sz w:val="24"/>
          <w:szCs w:val="24"/>
        </w:rPr>
        <w:t>EDITION 2</w:t>
      </w:r>
      <w:r w:rsidR="0007440D" w:rsidRPr="00842FE5">
        <w:rPr>
          <w:rFonts w:ascii="Times New Roman" w:hAnsi="Times New Roman" w:cs="Times New Roman"/>
          <w:color w:val="0D0D0D" w:themeColor="text1" w:themeTint="F2"/>
          <w:sz w:val="24"/>
          <w:szCs w:val="24"/>
        </w:rPr>
        <w:t xml:space="preserve"> study</w:t>
      </w:r>
      <w:r w:rsidR="00BE7410" w:rsidRPr="00842FE5">
        <w:rPr>
          <w:rFonts w:ascii="Times New Roman" w:hAnsi="Times New Roman" w:cs="Times New Roman"/>
          <w:color w:val="0D0D0D" w:themeColor="text1" w:themeTint="F2"/>
          <w:sz w:val="24"/>
          <w:szCs w:val="24"/>
        </w:rPr>
        <w:t xml:space="preserve"> at 6 months</w:t>
      </w:r>
      <w:r w:rsidR="002D26D9" w:rsidRPr="00842FE5">
        <w:rPr>
          <w:rFonts w:ascii="Times New Roman" w:hAnsi="Times New Roman" w:cs="Times New Roman"/>
          <w:color w:val="0D0D0D" w:themeColor="text1" w:themeTint="F2"/>
          <w:sz w:val="24"/>
          <w:szCs w:val="24"/>
        </w:rPr>
        <w:t xml:space="preserve"> (−0.57%)</w:t>
      </w:r>
      <w:r w:rsidR="006341B9" w:rsidRPr="00842FE5">
        <w:rPr>
          <w:rFonts w:ascii="Times New Roman" w:hAnsi="Times New Roman" w:cs="Times New Roman"/>
          <w:color w:val="0D0D0D" w:themeColor="text1" w:themeTint="F2"/>
          <w:sz w:val="24"/>
          <w:szCs w:val="24"/>
        </w:rPr>
        <w:t>;</w:t>
      </w:r>
      <w:r w:rsidR="00A10456" w:rsidRPr="00842FE5">
        <w:rPr>
          <w:rFonts w:ascii="Times New Roman" w:hAnsi="Times New Roman" w:cs="Times New Roman"/>
          <w:color w:val="0D0D0D" w:themeColor="text1" w:themeTint="F2"/>
          <w:sz w:val="24"/>
          <w:szCs w:val="24"/>
        </w:rPr>
        <w:t xml:space="preserve"> </w:t>
      </w:r>
      <w:r w:rsidR="002D26D9" w:rsidRPr="00842FE5">
        <w:rPr>
          <w:rFonts w:ascii="Times New Roman" w:hAnsi="Times New Roman" w:cs="Times New Roman"/>
          <w:color w:val="0D0D0D" w:themeColor="text1" w:themeTint="F2"/>
          <w:sz w:val="24"/>
          <w:szCs w:val="24"/>
        </w:rPr>
        <w:t xml:space="preserve">this could be due to </w:t>
      </w:r>
      <w:r w:rsidR="00A10456" w:rsidRPr="00842FE5">
        <w:rPr>
          <w:rFonts w:ascii="Times New Roman" w:hAnsi="Times New Roman" w:cs="Times New Roman"/>
          <w:color w:val="0D0D0D" w:themeColor="text1" w:themeTint="F2"/>
          <w:sz w:val="24"/>
          <w:szCs w:val="24"/>
        </w:rPr>
        <w:t xml:space="preserve">the </w:t>
      </w:r>
      <w:r w:rsidR="00A06DB1" w:rsidRPr="00842FE5">
        <w:rPr>
          <w:rFonts w:ascii="Times New Roman" w:hAnsi="Times New Roman" w:cs="Times New Roman"/>
          <w:color w:val="0D0D0D" w:themeColor="text1" w:themeTint="F2"/>
          <w:sz w:val="24"/>
          <w:szCs w:val="24"/>
        </w:rPr>
        <w:t>higher</w:t>
      </w:r>
      <w:r w:rsidR="002D26D9" w:rsidRPr="00842FE5">
        <w:rPr>
          <w:rFonts w:ascii="Times New Roman" w:hAnsi="Times New Roman" w:cs="Times New Roman"/>
          <w:color w:val="0D0D0D" w:themeColor="text1" w:themeTint="F2"/>
          <w:sz w:val="24"/>
          <w:szCs w:val="24"/>
        </w:rPr>
        <w:t xml:space="preserve"> </w:t>
      </w:r>
      <w:r w:rsidR="00A10456" w:rsidRPr="00842FE5">
        <w:rPr>
          <w:rFonts w:ascii="Times New Roman" w:hAnsi="Times New Roman" w:cs="Times New Roman"/>
          <w:color w:val="0D0D0D" w:themeColor="text1" w:themeTint="F2"/>
          <w:sz w:val="24"/>
          <w:szCs w:val="24"/>
        </w:rPr>
        <w:t>baseline HbA</w:t>
      </w:r>
      <w:r w:rsidR="00A10456" w:rsidRPr="00842FE5">
        <w:rPr>
          <w:rFonts w:ascii="Times New Roman" w:hAnsi="Times New Roman" w:cs="Times New Roman"/>
          <w:color w:val="0D0D0D" w:themeColor="text1" w:themeTint="F2"/>
          <w:sz w:val="24"/>
          <w:szCs w:val="24"/>
          <w:vertAlign w:val="subscript"/>
        </w:rPr>
        <w:t>1c</w:t>
      </w:r>
      <w:r w:rsidR="00A10456" w:rsidRPr="00842FE5">
        <w:rPr>
          <w:rFonts w:ascii="Times New Roman" w:hAnsi="Times New Roman" w:cs="Times New Roman"/>
          <w:color w:val="0D0D0D" w:themeColor="text1" w:themeTint="F2"/>
          <w:sz w:val="24"/>
          <w:szCs w:val="24"/>
        </w:rPr>
        <w:t xml:space="preserve"> </w:t>
      </w:r>
      <w:r w:rsidR="00A32081" w:rsidRPr="00842FE5">
        <w:rPr>
          <w:rFonts w:ascii="Times New Roman" w:hAnsi="Times New Roman" w:cs="Times New Roman"/>
          <w:color w:val="0D0D0D" w:themeColor="text1" w:themeTint="F2"/>
          <w:sz w:val="24"/>
          <w:szCs w:val="24"/>
        </w:rPr>
        <w:t xml:space="preserve">in </w:t>
      </w:r>
      <w:r w:rsidR="006341B9" w:rsidRPr="00842FE5">
        <w:rPr>
          <w:rFonts w:ascii="Times New Roman" w:hAnsi="Times New Roman" w:cs="Times New Roman"/>
          <w:color w:val="0D0D0D" w:themeColor="text1" w:themeTint="F2"/>
          <w:sz w:val="24"/>
          <w:szCs w:val="24"/>
        </w:rPr>
        <w:t xml:space="preserve">the </w:t>
      </w:r>
      <w:r w:rsidR="009D16D3" w:rsidRPr="00842FE5">
        <w:rPr>
          <w:rFonts w:ascii="Times New Roman" w:hAnsi="Times New Roman" w:cs="Times New Roman"/>
          <w:color w:val="0D0D0D" w:themeColor="text1" w:themeTint="F2"/>
          <w:sz w:val="24"/>
          <w:szCs w:val="24"/>
        </w:rPr>
        <w:t>ARTEMIS-DM study (8.67%) than in</w:t>
      </w:r>
      <w:r w:rsidR="003513C9" w:rsidRPr="00842FE5">
        <w:rPr>
          <w:rFonts w:ascii="Times New Roman" w:hAnsi="Times New Roman" w:cs="Times New Roman"/>
          <w:color w:val="0D0D0D" w:themeColor="text1" w:themeTint="F2"/>
          <w:sz w:val="24"/>
          <w:szCs w:val="24"/>
        </w:rPr>
        <w:t xml:space="preserve"> the</w:t>
      </w:r>
      <w:r w:rsidR="009D16D3" w:rsidRPr="00842FE5">
        <w:rPr>
          <w:rFonts w:ascii="Times New Roman" w:hAnsi="Times New Roman" w:cs="Times New Roman"/>
          <w:color w:val="0D0D0D" w:themeColor="text1" w:themeTint="F2"/>
          <w:sz w:val="24"/>
          <w:szCs w:val="24"/>
        </w:rPr>
        <w:t xml:space="preserve"> </w:t>
      </w:r>
      <w:r w:rsidR="00A32081" w:rsidRPr="00842FE5">
        <w:rPr>
          <w:rFonts w:ascii="Times New Roman" w:hAnsi="Times New Roman" w:cs="Times New Roman"/>
          <w:color w:val="0D0D0D" w:themeColor="text1" w:themeTint="F2"/>
          <w:sz w:val="24"/>
          <w:szCs w:val="24"/>
        </w:rPr>
        <w:t>EDITION 2</w:t>
      </w:r>
      <w:r w:rsidR="007E7FFB" w:rsidRPr="00842FE5">
        <w:rPr>
          <w:rFonts w:ascii="Times New Roman" w:hAnsi="Times New Roman" w:cs="Times New Roman"/>
          <w:color w:val="0D0D0D" w:themeColor="text1" w:themeTint="F2"/>
          <w:sz w:val="24"/>
          <w:szCs w:val="24"/>
        </w:rPr>
        <w:t xml:space="preserve"> study</w:t>
      </w:r>
      <w:r w:rsidR="00A32081" w:rsidRPr="00842FE5">
        <w:rPr>
          <w:rFonts w:ascii="Times New Roman" w:hAnsi="Times New Roman" w:cs="Times New Roman"/>
          <w:color w:val="0D0D0D" w:themeColor="text1" w:themeTint="F2"/>
          <w:sz w:val="24"/>
          <w:szCs w:val="24"/>
        </w:rPr>
        <w:t xml:space="preserve"> </w:t>
      </w:r>
      <w:r w:rsidR="00F54D01" w:rsidRPr="00842FE5">
        <w:rPr>
          <w:rFonts w:ascii="Times New Roman" w:hAnsi="Times New Roman" w:cs="Times New Roman"/>
          <w:color w:val="0D0D0D" w:themeColor="text1" w:themeTint="F2"/>
          <w:sz w:val="24"/>
          <w:szCs w:val="24"/>
        </w:rPr>
        <w:t>(</w:t>
      </w:r>
      <w:r w:rsidR="00D1216B" w:rsidRPr="00842FE5">
        <w:rPr>
          <w:rFonts w:ascii="Times New Roman" w:hAnsi="Times New Roman" w:cs="Times New Roman"/>
          <w:color w:val="0D0D0D" w:themeColor="text1" w:themeTint="F2"/>
          <w:sz w:val="24"/>
          <w:szCs w:val="24"/>
        </w:rPr>
        <w:t>8.2</w:t>
      </w:r>
      <w:r w:rsidR="00B03C8F" w:rsidRPr="00842FE5">
        <w:rPr>
          <w:rFonts w:ascii="Times New Roman" w:hAnsi="Times New Roman" w:cs="Times New Roman"/>
          <w:color w:val="0D0D0D" w:themeColor="text1" w:themeTint="F2"/>
          <w:sz w:val="24"/>
          <w:szCs w:val="24"/>
        </w:rPr>
        <w:t>6</w:t>
      </w:r>
      <w:r w:rsidR="00D1216B" w:rsidRPr="00842FE5">
        <w:rPr>
          <w:rFonts w:ascii="Times New Roman" w:hAnsi="Times New Roman" w:cs="Times New Roman"/>
          <w:color w:val="0D0D0D" w:themeColor="text1" w:themeTint="F2"/>
          <w:sz w:val="24"/>
          <w:szCs w:val="24"/>
        </w:rPr>
        <w:t>%</w:t>
      </w:r>
      <w:r w:rsidR="00F54D01" w:rsidRPr="00842FE5">
        <w:rPr>
          <w:rFonts w:ascii="Times New Roman" w:hAnsi="Times New Roman" w:cs="Times New Roman"/>
          <w:color w:val="0D0D0D" w:themeColor="text1" w:themeTint="F2"/>
          <w:sz w:val="24"/>
          <w:szCs w:val="24"/>
        </w:rPr>
        <w:t>)</w:t>
      </w:r>
      <w:r w:rsidR="003513C9" w:rsidRPr="00842FE5">
        <w:rPr>
          <w:rFonts w:ascii="Times New Roman" w:hAnsi="Times New Roman" w:cs="Times New Roman"/>
          <w:color w:val="0D0D0D" w:themeColor="text1" w:themeTint="F2"/>
          <w:sz w:val="24"/>
          <w:szCs w:val="24"/>
        </w:rPr>
        <w:t xml:space="preserve"> [19]</w:t>
      </w:r>
      <w:r w:rsidR="006829EF" w:rsidRPr="00842FE5">
        <w:rPr>
          <w:rFonts w:ascii="Times New Roman" w:hAnsi="Times New Roman" w:cs="Times New Roman"/>
          <w:color w:val="0D0D0D" w:themeColor="text1" w:themeTint="F2"/>
          <w:sz w:val="24"/>
          <w:szCs w:val="24"/>
        </w:rPr>
        <w:t>.</w:t>
      </w:r>
      <w:r w:rsidR="009F15C2" w:rsidRPr="00842FE5">
        <w:rPr>
          <w:rFonts w:ascii="Times New Roman" w:hAnsi="Times New Roman" w:cs="Times New Roman"/>
          <w:color w:val="0D0D0D" w:themeColor="text1" w:themeTint="F2"/>
          <w:sz w:val="24"/>
          <w:szCs w:val="24"/>
        </w:rPr>
        <w:t xml:space="preserve"> </w:t>
      </w:r>
      <w:r w:rsidR="00303029" w:rsidRPr="00842FE5">
        <w:rPr>
          <w:rFonts w:ascii="Times New Roman" w:hAnsi="Times New Roman" w:cs="Times New Roman"/>
          <w:color w:val="0D0D0D" w:themeColor="text1" w:themeTint="F2"/>
          <w:sz w:val="24"/>
          <w:szCs w:val="24"/>
        </w:rPr>
        <w:t xml:space="preserve">Previous studies </w:t>
      </w:r>
      <w:r w:rsidR="00316868" w:rsidRPr="00842FE5">
        <w:rPr>
          <w:rFonts w:ascii="Times New Roman" w:hAnsi="Times New Roman" w:cs="Times New Roman"/>
          <w:color w:val="0D0D0D" w:themeColor="text1" w:themeTint="F2"/>
          <w:sz w:val="24"/>
          <w:szCs w:val="24"/>
        </w:rPr>
        <w:t xml:space="preserve">have </w:t>
      </w:r>
      <w:r w:rsidR="00303029" w:rsidRPr="00842FE5">
        <w:rPr>
          <w:rFonts w:ascii="Times New Roman" w:hAnsi="Times New Roman" w:cs="Times New Roman"/>
          <w:color w:val="0D0D0D" w:themeColor="text1" w:themeTint="F2"/>
          <w:sz w:val="24"/>
          <w:szCs w:val="24"/>
        </w:rPr>
        <w:t>reported greater HbA</w:t>
      </w:r>
      <w:r w:rsidR="00303029" w:rsidRPr="00842FE5">
        <w:rPr>
          <w:rFonts w:ascii="Times New Roman" w:hAnsi="Times New Roman" w:cs="Times New Roman"/>
          <w:color w:val="0D0D0D" w:themeColor="text1" w:themeTint="F2"/>
          <w:sz w:val="24"/>
          <w:szCs w:val="24"/>
          <w:vertAlign w:val="subscript"/>
        </w:rPr>
        <w:t>1c</w:t>
      </w:r>
      <w:r w:rsidR="00303029" w:rsidRPr="00842FE5">
        <w:rPr>
          <w:rFonts w:ascii="Times New Roman" w:hAnsi="Times New Roman" w:cs="Times New Roman"/>
          <w:color w:val="0D0D0D" w:themeColor="text1" w:themeTint="F2"/>
          <w:sz w:val="24"/>
          <w:szCs w:val="24"/>
        </w:rPr>
        <w:t xml:space="preserve"> reduction in participants with higher baseline HbA</w:t>
      </w:r>
      <w:r w:rsidR="00303029" w:rsidRPr="00842FE5">
        <w:rPr>
          <w:rFonts w:ascii="Times New Roman" w:hAnsi="Times New Roman" w:cs="Times New Roman"/>
          <w:color w:val="0D0D0D" w:themeColor="text1" w:themeTint="F2"/>
          <w:sz w:val="24"/>
          <w:szCs w:val="24"/>
          <w:vertAlign w:val="subscript"/>
        </w:rPr>
        <w:t>1c</w:t>
      </w:r>
      <w:r w:rsidR="00303029" w:rsidRPr="00842FE5">
        <w:rPr>
          <w:rFonts w:ascii="Times New Roman" w:hAnsi="Times New Roman" w:cs="Times New Roman"/>
          <w:color w:val="0D0D0D" w:themeColor="text1" w:themeTint="F2"/>
          <w:sz w:val="24"/>
          <w:szCs w:val="24"/>
        </w:rPr>
        <w:t xml:space="preserve"> levels</w:t>
      </w:r>
      <w:r w:rsidR="007E7FFB" w:rsidRPr="00842FE5">
        <w:rPr>
          <w:rFonts w:ascii="Times New Roman" w:hAnsi="Times New Roman" w:cs="Times New Roman"/>
          <w:color w:val="0D0D0D" w:themeColor="text1" w:themeTint="F2"/>
          <w:sz w:val="24"/>
          <w:szCs w:val="24"/>
        </w:rPr>
        <w:t xml:space="preserve"> [19–21]</w:t>
      </w:r>
      <w:r w:rsidR="005F1FBB" w:rsidRPr="00842FE5">
        <w:rPr>
          <w:rFonts w:ascii="Times New Roman" w:hAnsi="Times New Roman" w:cs="Times New Roman"/>
          <w:color w:val="0D0D0D" w:themeColor="text1" w:themeTint="F2"/>
          <w:sz w:val="24"/>
          <w:szCs w:val="24"/>
        </w:rPr>
        <w:t>.</w:t>
      </w:r>
      <w:r w:rsidR="00303029" w:rsidRPr="00842FE5">
        <w:rPr>
          <w:rFonts w:ascii="Times New Roman" w:hAnsi="Times New Roman" w:cs="Times New Roman"/>
          <w:color w:val="0D0D0D" w:themeColor="text1" w:themeTint="F2"/>
          <w:sz w:val="24"/>
          <w:szCs w:val="24"/>
        </w:rPr>
        <w:t xml:space="preserve"> </w:t>
      </w:r>
      <w:r w:rsidR="0058273D" w:rsidRPr="00842FE5">
        <w:rPr>
          <w:rFonts w:ascii="Times New Roman" w:hAnsi="Times New Roman" w:cs="Times New Roman"/>
          <w:color w:val="0D0D0D" w:themeColor="text1" w:themeTint="F2"/>
          <w:sz w:val="24"/>
          <w:szCs w:val="24"/>
        </w:rPr>
        <w:t>Further, the magnitude of HbA</w:t>
      </w:r>
      <w:r w:rsidR="0058273D" w:rsidRPr="00842FE5">
        <w:rPr>
          <w:rFonts w:ascii="Times New Roman" w:hAnsi="Times New Roman" w:cs="Times New Roman"/>
          <w:color w:val="0D0D0D" w:themeColor="text1" w:themeTint="F2"/>
          <w:sz w:val="24"/>
          <w:szCs w:val="24"/>
          <w:vertAlign w:val="subscript"/>
        </w:rPr>
        <w:t>1c</w:t>
      </w:r>
      <w:r w:rsidR="0058273D" w:rsidRPr="00842FE5">
        <w:rPr>
          <w:rFonts w:ascii="Times New Roman" w:hAnsi="Times New Roman" w:cs="Times New Roman"/>
          <w:color w:val="0D0D0D" w:themeColor="text1" w:themeTint="F2"/>
          <w:sz w:val="24"/>
          <w:szCs w:val="24"/>
        </w:rPr>
        <w:t xml:space="preserve"> reduction </w:t>
      </w:r>
      <w:r w:rsidR="00F11E86" w:rsidRPr="00842FE5">
        <w:rPr>
          <w:rFonts w:ascii="Times New Roman" w:hAnsi="Times New Roman" w:cs="Times New Roman"/>
          <w:color w:val="0D0D0D" w:themeColor="text1" w:themeTint="F2"/>
          <w:sz w:val="24"/>
          <w:szCs w:val="24"/>
        </w:rPr>
        <w:t>in the present study was also greater than that reported in</w:t>
      </w:r>
      <w:r w:rsidR="00E6528B" w:rsidRPr="00842FE5">
        <w:rPr>
          <w:rFonts w:ascii="Times New Roman" w:hAnsi="Times New Roman" w:cs="Times New Roman"/>
          <w:color w:val="0D0D0D" w:themeColor="text1" w:themeTint="F2"/>
          <w:sz w:val="24"/>
          <w:szCs w:val="24"/>
        </w:rPr>
        <w:t xml:space="preserve"> </w:t>
      </w:r>
      <w:r w:rsidR="00971D4A" w:rsidRPr="00842FE5">
        <w:rPr>
          <w:rFonts w:ascii="Times New Roman" w:hAnsi="Times New Roman" w:cs="Times New Roman"/>
          <w:color w:val="0D0D0D" w:themeColor="text1" w:themeTint="F2"/>
          <w:sz w:val="24"/>
          <w:szCs w:val="24"/>
        </w:rPr>
        <w:t xml:space="preserve">the </w:t>
      </w:r>
      <w:r w:rsidR="00E6528B" w:rsidRPr="00842FE5">
        <w:rPr>
          <w:rFonts w:ascii="Times New Roman" w:hAnsi="Times New Roman" w:cs="Times New Roman"/>
          <w:color w:val="0D0D0D" w:themeColor="text1" w:themeTint="F2"/>
          <w:sz w:val="24"/>
          <w:szCs w:val="24"/>
        </w:rPr>
        <w:t>TRANSITION 2 (</w:t>
      </w:r>
      <w:r w:rsidR="00CF3409" w:rsidRPr="00842FE5">
        <w:rPr>
          <w:rFonts w:ascii="Times New Roman" w:hAnsi="Times New Roman" w:cs="Times New Roman"/>
          <w:color w:val="0D0D0D" w:themeColor="text1" w:themeTint="F2"/>
          <w:sz w:val="24"/>
          <w:szCs w:val="24"/>
        </w:rPr>
        <w:t>−0.64%</w:t>
      </w:r>
      <w:r w:rsidR="00E6528B" w:rsidRPr="00842FE5">
        <w:rPr>
          <w:rFonts w:ascii="Times New Roman" w:hAnsi="Times New Roman" w:cs="Times New Roman"/>
          <w:color w:val="0D0D0D" w:themeColor="text1" w:themeTint="F2"/>
          <w:sz w:val="24"/>
          <w:szCs w:val="24"/>
        </w:rPr>
        <w:t>)</w:t>
      </w:r>
      <w:r w:rsidR="00A8587F" w:rsidRPr="00842FE5">
        <w:rPr>
          <w:rFonts w:ascii="Times New Roman" w:hAnsi="Times New Roman" w:cs="Times New Roman"/>
          <w:color w:val="0D0D0D" w:themeColor="text1" w:themeTint="F2"/>
          <w:sz w:val="24"/>
          <w:szCs w:val="24"/>
        </w:rPr>
        <w:t xml:space="preserve"> </w:t>
      </w:r>
      <w:r w:rsidR="00873AAC" w:rsidRPr="00842FE5">
        <w:rPr>
          <w:rFonts w:ascii="Times New Roman" w:hAnsi="Times New Roman" w:cs="Times New Roman"/>
          <w:color w:val="0D0D0D" w:themeColor="text1" w:themeTint="F2"/>
          <w:sz w:val="24"/>
          <w:szCs w:val="24"/>
        </w:rPr>
        <w:t>and</w:t>
      </w:r>
      <w:r w:rsidR="00E6528B" w:rsidRPr="00842FE5">
        <w:rPr>
          <w:rFonts w:ascii="Times New Roman" w:hAnsi="Times New Roman" w:cs="Times New Roman"/>
          <w:color w:val="0D0D0D" w:themeColor="text1" w:themeTint="F2"/>
          <w:sz w:val="24"/>
          <w:szCs w:val="24"/>
        </w:rPr>
        <w:t xml:space="preserve"> DELIVER 2</w:t>
      </w:r>
      <w:r w:rsidR="00873AAC" w:rsidRPr="00842FE5">
        <w:rPr>
          <w:rFonts w:ascii="Times New Roman" w:hAnsi="Times New Roman" w:cs="Times New Roman"/>
          <w:color w:val="0D0D0D" w:themeColor="text1" w:themeTint="F2"/>
          <w:sz w:val="24"/>
          <w:szCs w:val="24"/>
        </w:rPr>
        <w:t xml:space="preserve"> </w:t>
      </w:r>
      <w:r w:rsidR="00EF4469" w:rsidRPr="00842FE5">
        <w:rPr>
          <w:rFonts w:ascii="Times New Roman" w:hAnsi="Times New Roman" w:cs="Times New Roman"/>
          <w:color w:val="0D0D0D" w:themeColor="text1" w:themeTint="F2"/>
          <w:sz w:val="24"/>
          <w:szCs w:val="24"/>
        </w:rPr>
        <w:t xml:space="preserve">RWE </w:t>
      </w:r>
      <w:r w:rsidR="00E6528B" w:rsidRPr="00842FE5">
        <w:rPr>
          <w:rFonts w:ascii="Times New Roman" w:hAnsi="Times New Roman" w:cs="Times New Roman"/>
          <w:color w:val="0D0D0D" w:themeColor="text1" w:themeTint="F2"/>
          <w:sz w:val="24"/>
          <w:szCs w:val="24"/>
        </w:rPr>
        <w:t>(</w:t>
      </w:r>
      <w:r w:rsidR="00873AAC" w:rsidRPr="00842FE5">
        <w:rPr>
          <w:rFonts w:ascii="Times New Roman" w:hAnsi="Times New Roman" w:cs="Times New Roman"/>
          <w:color w:val="0D0D0D" w:themeColor="text1" w:themeTint="F2"/>
          <w:sz w:val="24"/>
          <w:szCs w:val="24"/>
        </w:rPr>
        <w:t>−0.51%</w:t>
      </w:r>
      <w:r w:rsidR="00E6528B" w:rsidRPr="00842FE5">
        <w:rPr>
          <w:rFonts w:ascii="Times New Roman" w:hAnsi="Times New Roman" w:cs="Times New Roman"/>
          <w:color w:val="0D0D0D" w:themeColor="text1" w:themeTint="F2"/>
          <w:sz w:val="24"/>
          <w:szCs w:val="24"/>
        </w:rPr>
        <w:t>) stud</w:t>
      </w:r>
      <w:r w:rsidR="00971D4A" w:rsidRPr="00842FE5">
        <w:rPr>
          <w:rFonts w:ascii="Times New Roman" w:hAnsi="Times New Roman" w:cs="Times New Roman"/>
          <w:color w:val="0D0D0D" w:themeColor="text1" w:themeTint="F2"/>
          <w:sz w:val="24"/>
          <w:szCs w:val="24"/>
        </w:rPr>
        <w:t>ies</w:t>
      </w:r>
      <w:r w:rsidR="005423FE" w:rsidRPr="00842FE5">
        <w:rPr>
          <w:rFonts w:ascii="Times New Roman" w:hAnsi="Times New Roman" w:cs="Times New Roman"/>
          <w:color w:val="0D0D0D" w:themeColor="text1" w:themeTint="F2"/>
          <w:sz w:val="24"/>
          <w:szCs w:val="24"/>
        </w:rPr>
        <w:t xml:space="preserve"> </w:t>
      </w:r>
      <w:r w:rsidR="00AE00C3" w:rsidRPr="00842FE5">
        <w:rPr>
          <w:rFonts w:ascii="Times New Roman" w:hAnsi="Times New Roman" w:cs="Times New Roman"/>
          <w:color w:val="0D0D0D" w:themeColor="text1" w:themeTint="F2"/>
          <w:sz w:val="24"/>
          <w:szCs w:val="24"/>
        </w:rPr>
        <w:t xml:space="preserve">despite comparable </w:t>
      </w:r>
      <w:r w:rsidR="00FE73A7" w:rsidRPr="00842FE5">
        <w:rPr>
          <w:rFonts w:ascii="Times New Roman" w:hAnsi="Times New Roman" w:cs="Times New Roman"/>
          <w:color w:val="0D0D0D" w:themeColor="text1" w:themeTint="F2"/>
          <w:sz w:val="24"/>
          <w:szCs w:val="24"/>
        </w:rPr>
        <w:t xml:space="preserve">or greater </w:t>
      </w:r>
      <w:r w:rsidR="00855096" w:rsidRPr="00842FE5">
        <w:rPr>
          <w:rFonts w:ascii="Times New Roman" w:hAnsi="Times New Roman" w:cs="Times New Roman"/>
          <w:color w:val="0D0D0D" w:themeColor="text1" w:themeTint="F2"/>
          <w:sz w:val="24"/>
          <w:szCs w:val="24"/>
        </w:rPr>
        <w:t>baseline HbA</w:t>
      </w:r>
      <w:r w:rsidR="00855096" w:rsidRPr="00842FE5">
        <w:rPr>
          <w:rFonts w:ascii="Times New Roman" w:hAnsi="Times New Roman" w:cs="Times New Roman"/>
          <w:color w:val="0D0D0D" w:themeColor="text1" w:themeTint="F2"/>
          <w:sz w:val="24"/>
          <w:szCs w:val="24"/>
          <w:vertAlign w:val="subscript"/>
        </w:rPr>
        <w:t>1c</w:t>
      </w:r>
      <w:r w:rsidR="00855096" w:rsidRPr="00842FE5">
        <w:rPr>
          <w:rFonts w:ascii="Times New Roman" w:hAnsi="Times New Roman" w:cs="Times New Roman"/>
          <w:color w:val="0D0D0D" w:themeColor="text1" w:themeTint="F2"/>
          <w:sz w:val="24"/>
          <w:szCs w:val="24"/>
        </w:rPr>
        <w:t xml:space="preserve"> </w:t>
      </w:r>
      <w:r w:rsidR="00EE1410" w:rsidRPr="00842FE5">
        <w:rPr>
          <w:rFonts w:ascii="Times New Roman" w:hAnsi="Times New Roman" w:cs="Times New Roman"/>
          <w:color w:val="0D0D0D" w:themeColor="text1" w:themeTint="F2"/>
          <w:sz w:val="24"/>
          <w:szCs w:val="24"/>
        </w:rPr>
        <w:t xml:space="preserve">levels </w:t>
      </w:r>
      <w:r w:rsidR="00BA0204" w:rsidRPr="00842FE5">
        <w:rPr>
          <w:rFonts w:ascii="Times New Roman" w:hAnsi="Times New Roman" w:cs="Times New Roman"/>
          <w:color w:val="0D0D0D" w:themeColor="text1" w:themeTint="F2"/>
          <w:sz w:val="24"/>
          <w:szCs w:val="24"/>
        </w:rPr>
        <w:t>(</w:t>
      </w:r>
      <w:r w:rsidR="008E354A" w:rsidRPr="00842FE5">
        <w:rPr>
          <w:rFonts w:ascii="Times New Roman" w:hAnsi="Times New Roman" w:cs="Times New Roman"/>
          <w:color w:val="0D0D0D" w:themeColor="text1" w:themeTint="F2"/>
          <w:sz w:val="24"/>
          <w:szCs w:val="24"/>
        </w:rPr>
        <w:t xml:space="preserve">TRANSITION 2, 8.64% and </w:t>
      </w:r>
      <w:r w:rsidR="00273489" w:rsidRPr="00842FE5">
        <w:rPr>
          <w:rFonts w:ascii="Times New Roman" w:hAnsi="Times New Roman" w:cs="Times New Roman"/>
          <w:color w:val="0D0D0D" w:themeColor="text1" w:themeTint="F2"/>
          <w:sz w:val="24"/>
          <w:szCs w:val="24"/>
        </w:rPr>
        <w:t>DELIVER 2</w:t>
      </w:r>
      <w:r w:rsidR="00BA0204" w:rsidRPr="00842FE5">
        <w:rPr>
          <w:rFonts w:ascii="Times New Roman" w:hAnsi="Times New Roman" w:cs="Times New Roman"/>
          <w:color w:val="0D0D0D" w:themeColor="text1" w:themeTint="F2"/>
          <w:sz w:val="24"/>
          <w:szCs w:val="24"/>
        </w:rPr>
        <w:t>,</w:t>
      </w:r>
      <w:r w:rsidR="00273489" w:rsidRPr="00842FE5">
        <w:rPr>
          <w:rFonts w:ascii="Times New Roman" w:hAnsi="Times New Roman" w:cs="Times New Roman"/>
          <w:color w:val="0D0D0D" w:themeColor="text1" w:themeTint="F2"/>
          <w:sz w:val="24"/>
          <w:szCs w:val="24"/>
        </w:rPr>
        <w:t xml:space="preserve"> 8.95%</w:t>
      </w:r>
      <w:r w:rsidR="0007060D" w:rsidRPr="00842FE5">
        <w:rPr>
          <w:rFonts w:ascii="Times New Roman" w:hAnsi="Times New Roman" w:cs="Times New Roman"/>
          <w:color w:val="0D0D0D" w:themeColor="text1" w:themeTint="F2"/>
          <w:sz w:val="24"/>
          <w:szCs w:val="24"/>
        </w:rPr>
        <w:t>)</w:t>
      </w:r>
      <w:r w:rsidR="00DC7F09" w:rsidRPr="00842FE5">
        <w:rPr>
          <w:rFonts w:ascii="Times New Roman" w:hAnsi="Times New Roman" w:cs="Times New Roman"/>
          <w:color w:val="0D0D0D" w:themeColor="text1" w:themeTint="F2"/>
          <w:sz w:val="24"/>
          <w:szCs w:val="24"/>
        </w:rPr>
        <w:t xml:space="preserve"> [20,</w:t>
      </w:r>
      <w:r w:rsidR="00AF7BDD" w:rsidRPr="00842FE5">
        <w:rPr>
          <w:rFonts w:ascii="Times New Roman" w:hAnsi="Times New Roman" w:cs="Times New Roman"/>
          <w:color w:val="0D0D0D" w:themeColor="text1" w:themeTint="F2"/>
          <w:sz w:val="24"/>
          <w:szCs w:val="24"/>
        </w:rPr>
        <w:t xml:space="preserve"> </w:t>
      </w:r>
      <w:r w:rsidR="00DC7F09" w:rsidRPr="00842FE5">
        <w:rPr>
          <w:rFonts w:ascii="Times New Roman" w:hAnsi="Times New Roman" w:cs="Times New Roman"/>
          <w:color w:val="0D0D0D" w:themeColor="text1" w:themeTint="F2"/>
          <w:sz w:val="24"/>
          <w:szCs w:val="24"/>
        </w:rPr>
        <w:t>21]</w:t>
      </w:r>
      <w:r w:rsidR="0007060D" w:rsidRPr="00842FE5">
        <w:rPr>
          <w:rFonts w:ascii="Times New Roman" w:hAnsi="Times New Roman" w:cs="Times New Roman"/>
          <w:color w:val="0D0D0D" w:themeColor="text1" w:themeTint="F2"/>
          <w:sz w:val="24"/>
          <w:szCs w:val="24"/>
        </w:rPr>
        <w:t>.</w:t>
      </w:r>
      <w:r w:rsidR="00256A57" w:rsidRPr="00842FE5">
        <w:rPr>
          <w:rFonts w:ascii="Times New Roman" w:hAnsi="Times New Roman" w:cs="Times New Roman"/>
          <w:color w:val="0D0D0D" w:themeColor="text1" w:themeTint="F2"/>
          <w:sz w:val="24"/>
          <w:szCs w:val="24"/>
        </w:rPr>
        <w:t xml:space="preserve"> </w:t>
      </w:r>
      <w:r w:rsidR="00D63271" w:rsidRPr="00842FE5">
        <w:rPr>
          <w:rFonts w:ascii="Times New Roman" w:hAnsi="Times New Roman" w:cs="Times New Roman"/>
          <w:color w:val="0D0D0D" w:themeColor="text1" w:themeTint="F2"/>
          <w:sz w:val="24"/>
          <w:szCs w:val="24"/>
        </w:rPr>
        <w:t>The HbA</w:t>
      </w:r>
      <w:r w:rsidR="00D63271" w:rsidRPr="00842FE5">
        <w:rPr>
          <w:rFonts w:ascii="Times New Roman" w:hAnsi="Times New Roman" w:cs="Times New Roman"/>
          <w:color w:val="0D0D0D" w:themeColor="text1" w:themeTint="F2"/>
          <w:sz w:val="24"/>
          <w:szCs w:val="24"/>
          <w:vertAlign w:val="subscript"/>
        </w:rPr>
        <w:t>1c</w:t>
      </w:r>
      <w:r w:rsidR="00D63271" w:rsidRPr="00842FE5">
        <w:rPr>
          <w:rFonts w:ascii="Times New Roman" w:hAnsi="Times New Roman" w:cs="Times New Roman"/>
          <w:color w:val="0D0D0D" w:themeColor="text1" w:themeTint="F2"/>
          <w:sz w:val="24"/>
          <w:szCs w:val="24"/>
        </w:rPr>
        <w:t xml:space="preserve"> reduction in</w:t>
      </w:r>
      <w:r w:rsidR="00DC7F09" w:rsidRPr="00842FE5">
        <w:rPr>
          <w:rFonts w:ascii="Times New Roman" w:hAnsi="Times New Roman" w:cs="Times New Roman"/>
          <w:color w:val="0D0D0D" w:themeColor="text1" w:themeTint="F2"/>
          <w:sz w:val="24"/>
          <w:szCs w:val="24"/>
        </w:rPr>
        <w:t xml:space="preserve"> the</w:t>
      </w:r>
      <w:r w:rsidR="00D63271" w:rsidRPr="00842FE5">
        <w:rPr>
          <w:rFonts w:ascii="Times New Roman" w:hAnsi="Times New Roman" w:cs="Times New Roman"/>
          <w:color w:val="0D0D0D" w:themeColor="text1" w:themeTint="F2"/>
          <w:sz w:val="24"/>
          <w:szCs w:val="24"/>
        </w:rPr>
        <w:t xml:space="preserve"> ARTEMIS-DM</w:t>
      </w:r>
      <w:r w:rsidR="00DC7F09" w:rsidRPr="00842FE5">
        <w:rPr>
          <w:rFonts w:ascii="Times New Roman" w:hAnsi="Times New Roman" w:cs="Times New Roman"/>
          <w:color w:val="0D0D0D" w:themeColor="text1" w:themeTint="F2"/>
          <w:sz w:val="24"/>
          <w:szCs w:val="24"/>
        </w:rPr>
        <w:t xml:space="preserve"> study</w:t>
      </w:r>
      <w:r w:rsidR="00D63271" w:rsidRPr="00842FE5">
        <w:rPr>
          <w:rFonts w:ascii="Times New Roman" w:hAnsi="Times New Roman" w:cs="Times New Roman"/>
          <w:color w:val="0D0D0D" w:themeColor="text1" w:themeTint="F2"/>
          <w:sz w:val="24"/>
          <w:szCs w:val="24"/>
        </w:rPr>
        <w:t xml:space="preserve"> was greater at Week 26 than in </w:t>
      </w:r>
      <w:r w:rsidR="00DC7F09" w:rsidRPr="00842FE5">
        <w:rPr>
          <w:rFonts w:ascii="Times New Roman" w:hAnsi="Times New Roman" w:cs="Times New Roman"/>
          <w:color w:val="0D0D0D" w:themeColor="text1" w:themeTint="F2"/>
          <w:sz w:val="24"/>
          <w:szCs w:val="24"/>
        </w:rPr>
        <w:t xml:space="preserve">the </w:t>
      </w:r>
      <w:r w:rsidR="00D63271" w:rsidRPr="00842FE5">
        <w:rPr>
          <w:rFonts w:ascii="Times New Roman" w:hAnsi="Times New Roman" w:cs="Times New Roman"/>
          <w:color w:val="0D0D0D" w:themeColor="text1" w:themeTint="F2"/>
          <w:sz w:val="24"/>
          <w:szCs w:val="24"/>
        </w:rPr>
        <w:t>TRANSITION 2</w:t>
      </w:r>
      <w:r w:rsidR="00DC7F09" w:rsidRPr="00842FE5">
        <w:rPr>
          <w:rFonts w:ascii="Times New Roman" w:hAnsi="Times New Roman" w:cs="Times New Roman"/>
          <w:color w:val="0D0D0D" w:themeColor="text1" w:themeTint="F2"/>
          <w:sz w:val="24"/>
          <w:szCs w:val="24"/>
        </w:rPr>
        <w:t xml:space="preserve"> study</w:t>
      </w:r>
      <w:r w:rsidR="00D63271" w:rsidRPr="00842FE5">
        <w:rPr>
          <w:rFonts w:ascii="Times New Roman" w:hAnsi="Times New Roman" w:cs="Times New Roman"/>
          <w:color w:val="0D0D0D" w:themeColor="text1" w:themeTint="F2"/>
          <w:sz w:val="24"/>
          <w:szCs w:val="24"/>
        </w:rPr>
        <w:t>, which is also an interventional study with participants close to the real-life practice, potentially due to a difference in titration algorithms</w:t>
      </w:r>
      <w:r w:rsidR="00ED6DDF" w:rsidRPr="00842FE5">
        <w:rPr>
          <w:rFonts w:ascii="Times New Roman" w:hAnsi="Times New Roman" w:cs="Times New Roman"/>
          <w:color w:val="0D0D0D" w:themeColor="text1" w:themeTint="F2"/>
          <w:sz w:val="24"/>
          <w:szCs w:val="24"/>
        </w:rPr>
        <w:t xml:space="preserve">. </w:t>
      </w:r>
      <w:r w:rsidR="00077C60" w:rsidRPr="00842FE5">
        <w:rPr>
          <w:rFonts w:ascii="Times New Roman" w:hAnsi="Times New Roman" w:cs="Times New Roman"/>
          <w:color w:val="0D0D0D" w:themeColor="text1" w:themeTint="F2"/>
          <w:sz w:val="24"/>
          <w:szCs w:val="24"/>
        </w:rPr>
        <w:t xml:space="preserve">While a titration algorithm was recommended in the TRANSITION 2 study, the target FPG range was less stringent </w:t>
      </w:r>
      <w:r w:rsidR="00322ABF" w:rsidRPr="00842FE5">
        <w:rPr>
          <w:rFonts w:ascii="Times New Roman" w:hAnsi="Times New Roman" w:cs="Times New Roman"/>
          <w:color w:val="0D0D0D" w:themeColor="text1" w:themeTint="F2"/>
          <w:sz w:val="24"/>
          <w:szCs w:val="24"/>
        </w:rPr>
        <w:t>than</w:t>
      </w:r>
      <w:r w:rsidR="00F51798" w:rsidRPr="00842FE5">
        <w:rPr>
          <w:rFonts w:ascii="Times New Roman" w:hAnsi="Times New Roman" w:cs="Times New Roman"/>
          <w:color w:val="0D0D0D" w:themeColor="text1" w:themeTint="F2"/>
          <w:sz w:val="24"/>
          <w:szCs w:val="24"/>
        </w:rPr>
        <w:t xml:space="preserve"> the present study</w:t>
      </w:r>
      <w:r w:rsidR="00D116BF" w:rsidRPr="00842FE5">
        <w:rPr>
          <w:rFonts w:ascii="Times New Roman" w:hAnsi="Times New Roman" w:cs="Times New Roman"/>
          <w:color w:val="0D0D0D" w:themeColor="text1" w:themeTint="F2"/>
          <w:sz w:val="24"/>
          <w:szCs w:val="24"/>
        </w:rPr>
        <w:t xml:space="preserve"> [20]</w:t>
      </w:r>
      <w:r w:rsidR="00077C60" w:rsidRPr="00842FE5">
        <w:rPr>
          <w:rFonts w:ascii="Times New Roman" w:hAnsi="Times New Roman" w:cs="Times New Roman"/>
          <w:color w:val="0D0D0D" w:themeColor="text1" w:themeTint="F2"/>
          <w:sz w:val="24"/>
          <w:szCs w:val="24"/>
        </w:rPr>
        <w:t>.</w:t>
      </w:r>
      <w:r w:rsidR="00F51798" w:rsidRPr="00842FE5">
        <w:rPr>
          <w:rFonts w:ascii="Times New Roman" w:hAnsi="Times New Roman" w:cs="Times New Roman"/>
          <w:color w:val="0D0D0D" w:themeColor="text1" w:themeTint="F2"/>
          <w:sz w:val="24"/>
          <w:szCs w:val="24"/>
          <w:vertAlign w:val="superscript"/>
        </w:rPr>
        <w:t xml:space="preserve"> </w:t>
      </w:r>
      <w:r w:rsidR="00224AA5" w:rsidRPr="00842FE5">
        <w:rPr>
          <w:rFonts w:ascii="Times New Roman" w:hAnsi="Times New Roman" w:cs="Times New Roman"/>
          <w:color w:val="0D0D0D" w:themeColor="text1" w:themeTint="F2"/>
          <w:sz w:val="24"/>
          <w:szCs w:val="24"/>
        </w:rPr>
        <w:t xml:space="preserve">In </w:t>
      </w:r>
      <w:r w:rsidR="0010675F" w:rsidRPr="00842FE5">
        <w:rPr>
          <w:rFonts w:ascii="Times New Roman" w:hAnsi="Times New Roman" w:cs="Times New Roman"/>
          <w:color w:val="0D0D0D" w:themeColor="text1" w:themeTint="F2"/>
          <w:sz w:val="24"/>
          <w:szCs w:val="24"/>
        </w:rPr>
        <w:t xml:space="preserve">the </w:t>
      </w:r>
      <w:r w:rsidR="005D0E8B" w:rsidRPr="00842FE5">
        <w:rPr>
          <w:rFonts w:ascii="Times New Roman" w:hAnsi="Times New Roman" w:cs="Times New Roman"/>
          <w:color w:val="0D0D0D" w:themeColor="text1" w:themeTint="F2"/>
          <w:sz w:val="24"/>
          <w:szCs w:val="24"/>
        </w:rPr>
        <w:t>DELIVER 2</w:t>
      </w:r>
      <w:r w:rsidR="0010675F" w:rsidRPr="00842FE5">
        <w:rPr>
          <w:rFonts w:ascii="Times New Roman" w:hAnsi="Times New Roman" w:cs="Times New Roman"/>
          <w:color w:val="0D0D0D" w:themeColor="text1" w:themeTint="F2"/>
          <w:sz w:val="24"/>
          <w:szCs w:val="24"/>
        </w:rPr>
        <w:t xml:space="preserve"> study</w:t>
      </w:r>
      <w:r w:rsidR="00224AA5" w:rsidRPr="00842FE5">
        <w:rPr>
          <w:rFonts w:ascii="Times New Roman" w:hAnsi="Times New Roman" w:cs="Times New Roman"/>
          <w:color w:val="0D0D0D" w:themeColor="text1" w:themeTint="F2"/>
          <w:sz w:val="24"/>
          <w:szCs w:val="24"/>
        </w:rPr>
        <w:t>,</w:t>
      </w:r>
      <w:r w:rsidR="005D0E8B" w:rsidRPr="00842FE5">
        <w:rPr>
          <w:rFonts w:ascii="Times New Roman" w:hAnsi="Times New Roman" w:cs="Times New Roman"/>
          <w:color w:val="0D0D0D" w:themeColor="text1" w:themeTint="F2"/>
          <w:sz w:val="24"/>
          <w:szCs w:val="24"/>
        </w:rPr>
        <w:t xml:space="preserve"> being a</w:t>
      </w:r>
      <w:r w:rsidR="00CA2820" w:rsidRPr="00842FE5">
        <w:rPr>
          <w:rFonts w:ascii="Times New Roman" w:hAnsi="Times New Roman" w:cs="Times New Roman"/>
          <w:color w:val="0D0D0D" w:themeColor="text1" w:themeTint="F2"/>
          <w:sz w:val="24"/>
          <w:szCs w:val="24"/>
        </w:rPr>
        <w:t xml:space="preserve"> retrospective real-world study, there was no defined BI titration </w:t>
      </w:r>
      <w:r w:rsidR="00AF7BDD" w:rsidRPr="00842FE5">
        <w:rPr>
          <w:rFonts w:ascii="Times New Roman" w:hAnsi="Times New Roman" w:cs="Times New Roman"/>
          <w:color w:val="0D0D0D" w:themeColor="text1" w:themeTint="F2"/>
          <w:sz w:val="24"/>
          <w:szCs w:val="24"/>
        </w:rPr>
        <w:t>algorithm,</w:t>
      </w:r>
      <w:r w:rsidR="007E7EB9" w:rsidRPr="00842FE5">
        <w:rPr>
          <w:rFonts w:ascii="Times New Roman" w:hAnsi="Times New Roman" w:cs="Times New Roman"/>
          <w:color w:val="0D0D0D" w:themeColor="text1" w:themeTint="F2"/>
          <w:sz w:val="24"/>
          <w:szCs w:val="24"/>
        </w:rPr>
        <w:t xml:space="preserve"> and </w:t>
      </w:r>
      <w:r w:rsidR="00732C65" w:rsidRPr="00842FE5">
        <w:rPr>
          <w:rFonts w:ascii="Times New Roman" w:hAnsi="Times New Roman" w:cs="Times New Roman"/>
          <w:color w:val="0D0D0D" w:themeColor="text1" w:themeTint="F2"/>
          <w:sz w:val="24"/>
          <w:szCs w:val="24"/>
        </w:rPr>
        <w:t>this may explain the difference in HbA</w:t>
      </w:r>
      <w:r w:rsidR="00732C65" w:rsidRPr="00842FE5">
        <w:rPr>
          <w:rFonts w:ascii="Times New Roman" w:hAnsi="Times New Roman" w:cs="Times New Roman"/>
          <w:color w:val="0D0D0D" w:themeColor="text1" w:themeTint="F2"/>
          <w:sz w:val="24"/>
          <w:szCs w:val="24"/>
          <w:vertAlign w:val="subscript"/>
        </w:rPr>
        <w:t>1c</w:t>
      </w:r>
      <w:r w:rsidR="00475F3F" w:rsidRPr="00842FE5">
        <w:rPr>
          <w:rFonts w:ascii="Times New Roman" w:hAnsi="Times New Roman" w:cs="Times New Roman"/>
          <w:color w:val="0D0D0D" w:themeColor="text1" w:themeTint="F2"/>
          <w:sz w:val="24"/>
          <w:szCs w:val="24"/>
        </w:rPr>
        <w:t xml:space="preserve"> reduction compared </w:t>
      </w:r>
      <w:r w:rsidR="0010675F" w:rsidRPr="00842FE5">
        <w:rPr>
          <w:rFonts w:ascii="Times New Roman" w:hAnsi="Times New Roman" w:cs="Times New Roman"/>
          <w:color w:val="0D0D0D" w:themeColor="text1" w:themeTint="F2"/>
          <w:sz w:val="24"/>
          <w:szCs w:val="24"/>
        </w:rPr>
        <w:t>with</w:t>
      </w:r>
      <w:r w:rsidR="00475F3F" w:rsidRPr="00842FE5">
        <w:rPr>
          <w:rFonts w:ascii="Times New Roman" w:hAnsi="Times New Roman" w:cs="Times New Roman"/>
          <w:color w:val="0D0D0D" w:themeColor="text1" w:themeTint="F2"/>
          <w:sz w:val="24"/>
          <w:szCs w:val="24"/>
        </w:rPr>
        <w:t xml:space="preserve"> that seen in ARTEMIS-DM</w:t>
      </w:r>
      <w:r w:rsidR="00491718" w:rsidRPr="00842FE5">
        <w:rPr>
          <w:rFonts w:ascii="Times New Roman" w:hAnsi="Times New Roman" w:cs="Times New Roman"/>
          <w:color w:val="0D0D0D" w:themeColor="text1" w:themeTint="F2"/>
          <w:sz w:val="24"/>
          <w:szCs w:val="24"/>
        </w:rPr>
        <w:t xml:space="preserve"> [21]</w:t>
      </w:r>
      <w:r w:rsidR="001D6403" w:rsidRPr="00842FE5">
        <w:rPr>
          <w:rFonts w:ascii="Times New Roman" w:hAnsi="Times New Roman" w:cs="Times New Roman"/>
          <w:color w:val="0D0D0D" w:themeColor="text1" w:themeTint="F2"/>
          <w:sz w:val="24"/>
          <w:szCs w:val="24"/>
        </w:rPr>
        <w:t>.</w:t>
      </w:r>
      <w:r w:rsidR="007E3DA4" w:rsidRPr="00842FE5">
        <w:rPr>
          <w:rFonts w:ascii="Times New Roman" w:hAnsi="Times New Roman" w:cs="Times New Roman"/>
          <w:color w:val="0D0D0D" w:themeColor="text1" w:themeTint="F2"/>
          <w:sz w:val="24"/>
          <w:szCs w:val="24"/>
        </w:rPr>
        <w:t xml:space="preserve"> </w:t>
      </w:r>
      <w:r w:rsidR="00EA5175" w:rsidRPr="00842FE5">
        <w:rPr>
          <w:rFonts w:ascii="Times New Roman" w:hAnsi="Times New Roman" w:cs="Times New Roman"/>
          <w:color w:val="0D0D0D" w:themeColor="text1" w:themeTint="F2"/>
          <w:sz w:val="24"/>
          <w:szCs w:val="24"/>
        </w:rPr>
        <w:t>Col</w:t>
      </w:r>
      <w:r w:rsidR="00CF25D6" w:rsidRPr="00842FE5">
        <w:rPr>
          <w:rFonts w:ascii="Times New Roman" w:hAnsi="Times New Roman" w:cs="Times New Roman"/>
          <w:color w:val="0D0D0D" w:themeColor="text1" w:themeTint="F2"/>
          <w:sz w:val="24"/>
          <w:szCs w:val="24"/>
        </w:rPr>
        <w:t>l</w:t>
      </w:r>
      <w:r w:rsidR="00EA5175" w:rsidRPr="00842FE5">
        <w:rPr>
          <w:rFonts w:ascii="Times New Roman" w:hAnsi="Times New Roman" w:cs="Times New Roman"/>
          <w:color w:val="0D0D0D" w:themeColor="text1" w:themeTint="F2"/>
          <w:sz w:val="24"/>
          <w:szCs w:val="24"/>
        </w:rPr>
        <w:t>ective</w:t>
      </w:r>
      <w:r w:rsidR="00CF25D6" w:rsidRPr="00842FE5">
        <w:rPr>
          <w:rFonts w:ascii="Times New Roman" w:hAnsi="Times New Roman" w:cs="Times New Roman"/>
          <w:color w:val="0D0D0D" w:themeColor="text1" w:themeTint="F2"/>
          <w:sz w:val="24"/>
          <w:szCs w:val="24"/>
        </w:rPr>
        <w:t xml:space="preserve">ly, </w:t>
      </w:r>
      <w:r w:rsidR="00EA5175" w:rsidRPr="00842FE5">
        <w:rPr>
          <w:rFonts w:ascii="Times New Roman" w:hAnsi="Times New Roman" w:cs="Times New Roman"/>
          <w:color w:val="0D0D0D" w:themeColor="text1" w:themeTint="F2"/>
          <w:sz w:val="24"/>
          <w:szCs w:val="24"/>
        </w:rPr>
        <w:t>th</w:t>
      </w:r>
      <w:r w:rsidR="00E436BC" w:rsidRPr="00842FE5">
        <w:rPr>
          <w:rFonts w:ascii="Times New Roman" w:hAnsi="Times New Roman" w:cs="Times New Roman"/>
          <w:color w:val="0D0D0D" w:themeColor="text1" w:themeTint="F2"/>
          <w:sz w:val="24"/>
          <w:szCs w:val="24"/>
        </w:rPr>
        <w:t>e</w:t>
      </w:r>
      <w:r w:rsidR="00EA5175" w:rsidRPr="00842FE5">
        <w:rPr>
          <w:rFonts w:ascii="Times New Roman" w:hAnsi="Times New Roman" w:cs="Times New Roman"/>
          <w:color w:val="0D0D0D" w:themeColor="text1" w:themeTint="F2"/>
          <w:sz w:val="24"/>
          <w:szCs w:val="24"/>
        </w:rPr>
        <w:t xml:space="preserve"> data </w:t>
      </w:r>
      <w:r w:rsidR="00EE1DBC" w:rsidRPr="00842FE5">
        <w:rPr>
          <w:rFonts w:ascii="Times New Roman" w:hAnsi="Times New Roman" w:cs="Times New Roman"/>
          <w:color w:val="0D0D0D" w:themeColor="text1" w:themeTint="F2"/>
          <w:sz w:val="24"/>
          <w:szCs w:val="24"/>
        </w:rPr>
        <w:t xml:space="preserve">suggest that </w:t>
      </w:r>
      <w:r w:rsidR="00E436BC" w:rsidRPr="00842FE5">
        <w:rPr>
          <w:rFonts w:ascii="Times New Roman" w:hAnsi="Times New Roman" w:cs="Times New Roman"/>
          <w:color w:val="0D0D0D" w:themeColor="text1" w:themeTint="F2"/>
          <w:sz w:val="24"/>
          <w:szCs w:val="24"/>
        </w:rPr>
        <w:t xml:space="preserve">both </w:t>
      </w:r>
      <w:r w:rsidR="00EE1DBC" w:rsidRPr="00842FE5">
        <w:rPr>
          <w:rFonts w:ascii="Times New Roman" w:hAnsi="Times New Roman" w:cs="Times New Roman"/>
          <w:color w:val="0D0D0D" w:themeColor="text1" w:themeTint="F2"/>
          <w:sz w:val="24"/>
          <w:szCs w:val="24"/>
        </w:rPr>
        <w:t>baseline HbA</w:t>
      </w:r>
      <w:r w:rsidR="00EE1DBC" w:rsidRPr="00842FE5">
        <w:rPr>
          <w:rFonts w:ascii="Times New Roman" w:hAnsi="Times New Roman" w:cs="Times New Roman"/>
          <w:color w:val="0D0D0D" w:themeColor="text1" w:themeTint="F2"/>
          <w:sz w:val="24"/>
          <w:szCs w:val="24"/>
          <w:vertAlign w:val="subscript"/>
        </w:rPr>
        <w:t>1c</w:t>
      </w:r>
      <w:r w:rsidR="00EE1DBC" w:rsidRPr="00842FE5">
        <w:rPr>
          <w:rFonts w:ascii="Times New Roman" w:hAnsi="Times New Roman" w:cs="Times New Roman"/>
          <w:color w:val="0D0D0D" w:themeColor="text1" w:themeTint="F2"/>
          <w:sz w:val="24"/>
          <w:szCs w:val="24"/>
        </w:rPr>
        <w:t xml:space="preserve"> </w:t>
      </w:r>
      <w:r w:rsidR="00E436BC" w:rsidRPr="00842FE5">
        <w:rPr>
          <w:rFonts w:ascii="Times New Roman" w:hAnsi="Times New Roman" w:cs="Times New Roman"/>
          <w:color w:val="0D0D0D" w:themeColor="text1" w:themeTint="F2"/>
          <w:sz w:val="24"/>
          <w:szCs w:val="24"/>
        </w:rPr>
        <w:t xml:space="preserve">level </w:t>
      </w:r>
      <w:r w:rsidR="00351040" w:rsidRPr="00842FE5">
        <w:rPr>
          <w:rFonts w:ascii="Times New Roman" w:hAnsi="Times New Roman" w:cs="Times New Roman"/>
          <w:color w:val="0D0D0D" w:themeColor="text1" w:themeTint="F2"/>
          <w:sz w:val="24"/>
          <w:szCs w:val="24"/>
        </w:rPr>
        <w:t xml:space="preserve">and optimal titration of Gla-300 dose </w:t>
      </w:r>
      <w:r w:rsidR="00EE1DBC" w:rsidRPr="00842FE5">
        <w:rPr>
          <w:rFonts w:ascii="Times New Roman" w:hAnsi="Times New Roman" w:cs="Times New Roman"/>
          <w:color w:val="0D0D0D" w:themeColor="text1" w:themeTint="F2"/>
          <w:sz w:val="24"/>
          <w:szCs w:val="24"/>
        </w:rPr>
        <w:t>play an important role</w:t>
      </w:r>
      <w:r w:rsidR="00016A05" w:rsidRPr="00842FE5">
        <w:rPr>
          <w:rFonts w:ascii="Times New Roman" w:hAnsi="Times New Roman" w:cs="Times New Roman"/>
          <w:color w:val="0D0D0D" w:themeColor="text1" w:themeTint="F2"/>
          <w:sz w:val="24"/>
          <w:szCs w:val="24"/>
        </w:rPr>
        <w:t xml:space="preserve"> </w:t>
      </w:r>
      <w:r w:rsidR="0051436C" w:rsidRPr="00842FE5">
        <w:rPr>
          <w:rFonts w:ascii="Times New Roman" w:hAnsi="Times New Roman" w:cs="Times New Roman"/>
          <w:color w:val="0D0D0D" w:themeColor="text1" w:themeTint="F2"/>
          <w:sz w:val="24"/>
          <w:szCs w:val="24"/>
        </w:rPr>
        <w:t>in determining glycaemic improvements</w:t>
      </w:r>
      <w:r w:rsidR="00554B6B" w:rsidRPr="00842FE5">
        <w:rPr>
          <w:rFonts w:ascii="Times New Roman" w:hAnsi="Times New Roman" w:cs="Times New Roman"/>
          <w:color w:val="0D0D0D" w:themeColor="text1" w:themeTint="F2"/>
          <w:sz w:val="24"/>
          <w:szCs w:val="24"/>
        </w:rPr>
        <w:t>.</w:t>
      </w:r>
      <w:r w:rsidR="00D905EB" w:rsidRPr="00842FE5">
        <w:rPr>
          <w:rFonts w:ascii="Times New Roman" w:hAnsi="Times New Roman" w:cs="Times New Roman"/>
          <w:color w:val="0D0D0D" w:themeColor="text1" w:themeTint="F2"/>
          <w:sz w:val="24"/>
          <w:szCs w:val="24"/>
        </w:rPr>
        <w:t xml:space="preserve"> </w:t>
      </w:r>
      <w:r w:rsidR="00087019">
        <w:rPr>
          <w:rFonts w:ascii="Times New Roman" w:hAnsi="Times New Roman" w:cs="Times New Roman"/>
          <w:color w:val="0D0D0D" w:themeColor="text1" w:themeTint="F2"/>
          <w:sz w:val="24"/>
          <w:szCs w:val="24"/>
        </w:rPr>
        <w:t>Also, the Gla-300</w:t>
      </w:r>
      <w:r w:rsidR="00725171">
        <w:rPr>
          <w:rFonts w:ascii="Times New Roman" w:hAnsi="Times New Roman" w:cs="Times New Roman"/>
          <w:color w:val="0D0D0D" w:themeColor="text1" w:themeTint="F2"/>
          <w:sz w:val="24"/>
          <w:szCs w:val="24"/>
        </w:rPr>
        <w:t xml:space="preserve"> formulation</w:t>
      </w:r>
      <w:r w:rsidR="00087019">
        <w:rPr>
          <w:rFonts w:ascii="Times New Roman" w:hAnsi="Times New Roman" w:cs="Times New Roman"/>
          <w:color w:val="0D0D0D" w:themeColor="text1" w:themeTint="F2"/>
          <w:sz w:val="24"/>
          <w:szCs w:val="24"/>
        </w:rPr>
        <w:t xml:space="preserve"> </w:t>
      </w:r>
      <w:r w:rsidR="00087019" w:rsidRPr="00746A45">
        <w:rPr>
          <w:rFonts w:ascii="Times New Roman" w:hAnsi="Times New Roman" w:cs="Times New Roman"/>
          <w:color w:val="0D0D0D" w:themeColor="text1" w:themeTint="F2"/>
          <w:sz w:val="24"/>
          <w:szCs w:val="24"/>
        </w:rPr>
        <w:t>produce</w:t>
      </w:r>
      <w:r w:rsidR="00725171">
        <w:rPr>
          <w:rFonts w:ascii="Times New Roman" w:hAnsi="Times New Roman" w:cs="Times New Roman"/>
          <w:color w:val="0D0D0D" w:themeColor="text1" w:themeTint="F2"/>
          <w:sz w:val="24"/>
          <w:szCs w:val="24"/>
        </w:rPr>
        <w:t>s</w:t>
      </w:r>
      <w:r w:rsidR="00087019" w:rsidRPr="00746A45">
        <w:rPr>
          <w:rFonts w:ascii="Times New Roman" w:hAnsi="Times New Roman" w:cs="Times New Roman"/>
          <w:color w:val="0D0D0D" w:themeColor="text1" w:themeTint="F2"/>
          <w:sz w:val="24"/>
          <w:szCs w:val="24"/>
        </w:rPr>
        <w:t xml:space="preserve"> a smaller subcutaneous depot, resulting in more</w:t>
      </w:r>
      <w:r w:rsidR="00087019">
        <w:rPr>
          <w:rFonts w:ascii="Times New Roman" w:hAnsi="Times New Roman" w:cs="Times New Roman"/>
          <w:color w:val="0D0D0D" w:themeColor="text1" w:themeTint="F2"/>
          <w:sz w:val="24"/>
          <w:szCs w:val="24"/>
        </w:rPr>
        <w:t xml:space="preserve"> </w:t>
      </w:r>
      <w:r w:rsidR="00087019" w:rsidRPr="00746A45">
        <w:rPr>
          <w:rFonts w:ascii="Times New Roman" w:hAnsi="Times New Roman" w:cs="Times New Roman"/>
          <w:color w:val="0D0D0D" w:themeColor="text1" w:themeTint="F2"/>
          <w:sz w:val="24"/>
          <w:szCs w:val="24"/>
        </w:rPr>
        <w:t>prolonged and constant release of insulin into the bloodstream</w:t>
      </w:r>
      <w:r w:rsidR="00087019">
        <w:rPr>
          <w:rFonts w:ascii="Times New Roman" w:hAnsi="Times New Roman" w:cs="Times New Roman"/>
          <w:color w:val="0D0D0D" w:themeColor="text1" w:themeTint="F2"/>
          <w:sz w:val="24"/>
          <w:szCs w:val="24"/>
        </w:rPr>
        <w:t xml:space="preserve">, extending the blood glucose control well beyond 24 hours [22, 23]. </w:t>
      </w:r>
      <w:r w:rsidR="00F95ED1">
        <w:rPr>
          <w:rFonts w:ascii="Times New Roman" w:hAnsi="Times New Roman" w:cs="Times New Roman"/>
          <w:color w:val="0D0D0D" w:themeColor="text1" w:themeTint="F2"/>
          <w:sz w:val="24"/>
          <w:szCs w:val="24"/>
        </w:rPr>
        <w:t>S</w:t>
      </w:r>
      <w:r w:rsidR="00A91135" w:rsidRPr="00A91135">
        <w:rPr>
          <w:rFonts w:ascii="Times New Roman" w:hAnsi="Times New Roman" w:cs="Times New Roman"/>
          <w:color w:val="0D0D0D" w:themeColor="text1" w:themeTint="F2"/>
          <w:sz w:val="24"/>
          <w:szCs w:val="24"/>
        </w:rPr>
        <w:t>witching to Gla-300 in patients previously uncontrolled on different basal or premix insulin regime</w:t>
      </w:r>
      <w:r w:rsidR="009F3C36">
        <w:rPr>
          <w:rFonts w:ascii="Times New Roman" w:hAnsi="Times New Roman" w:cs="Times New Roman"/>
          <w:color w:val="0D0D0D" w:themeColor="text1" w:themeTint="F2"/>
          <w:sz w:val="24"/>
          <w:szCs w:val="24"/>
        </w:rPr>
        <w:t>n</w:t>
      </w:r>
      <w:r w:rsidR="00A91135" w:rsidRPr="00A91135">
        <w:rPr>
          <w:rFonts w:ascii="Times New Roman" w:hAnsi="Times New Roman" w:cs="Times New Roman"/>
          <w:color w:val="0D0D0D" w:themeColor="text1" w:themeTint="F2"/>
          <w:sz w:val="24"/>
          <w:szCs w:val="24"/>
        </w:rPr>
        <w:t xml:space="preserve">s </w:t>
      </w:r>
      <w:r w:rsidR="00A91135">
        <w:rPr>
          <w:rFonts w:ascii="Times New Roman" w:hAnsi="Times New Roman" w:cs="Times New Roman"/>
          <w:color w:val="0D0D0D" w:themeColor="text1" w:themeTint="F2"/>
          <w:sz w:val="24"/>
          <w:szCs w:val="24"/>
        </w:rPr>
        <w:t>ha</w:t>
      </w:r>
      <w:r w:rsidR="00B20C4E">
        <w:rPr>
          <w:rFonts w:ascii="Times New Roman" w:hAnsi="Times New Roman" w:cs="Times New Roman"/>
          <w:color w:val="0D0D0D" w:themeColor="text1" w:themeTint="F2"/>
          <w:sz w:val="24"/>
          <w:szCs w:val="24"/>
        </w:rPr>
        <w:t xml:space="preserve">s been </w:t>
      </w:r>
      <w:r w:rsidR="00A91135" w:rsidRPr="00A91135">
        <w:rPr>
          <w:rFonts w:ascii="Times New Roman" w:hAnsi="Times New Roman" w:cs="Times New Roman"/>
          <w:color w:val="0D0D0D" w:themeColor="text1" w:themeTint="F2"/>
          <w:sz w:val="24"/>
          <w:szCs w:val="24"/>
        </w:rPr>
        <w:t>show</w:t>
      </w:r>
      <w:r w:rsidR="00B20C4E">
        <w:rPr>
          <w:rFonts w:ascii="Times New Roman" w:hAnsi="Times New Roman" w:cs="Times New Roman"/>
          <w:color w:val="0D0D0D" w:themeColor="text1" w:themeTint="F2"/>
          <w:sz w:val="24"/>
          <w:szCs w:val="24"/>
        </w:rPr>
        <w:t>n</w:t>
      </w:r>
      <w:r w:rsidR="00A91135" w:rsidRPr="00A91135">
        <w:rPr>
          <w:rFonts w:ascii="Times New Roman" w:hAnsi="Times New Roman" w:cs="Times New Roman"/>
          <w:color w:val="0D0D0D" w:themeColor="text1" w:themeTint="F2"/>
          <w:sz w:val="24"/>
          <w:szCs w:val="24"/>
        </w:rPr>
        <w:t xml:space="preserve"> </w:t>
      </w:r>
      <w:r w:rsidR="0031584B">
        <w:rPr>
          <w:rFonts w:ascii="Times New Roman" w:hAnsi="Times New Roman" w:cs="Times New Roman"/>
          <w:color w:val="0D0D0D" w:themeColor="text1" w:themeTint="F2"/>
          <w:sz w:val="24"/>
          <w:szCs w:val="24"/>
        </w:rPr>
        <w:t>to improve glyc</w:t>
      </w:r>
      <w:r w:rsidR="004476A0">
        <w:rPr>
          <w:rFonts w:ascii="Times New Roman" w:hAnsi="Times New Roman" w:cs="Times New Roman"/>
          <w:color w:val="0D0D0D" w:themeColor="text1" w:themeTint="F2"/>
          <w:sz w:val="24"/>
          <w:szCs w:val="24"/>
        </w:rPr>
        <w:t>a</w:t>
      </w:r>
      <w:r w:rsidR="0031584B">
        <w:rPr>
          <w:rFonts w:ascii="Times New Roman" w:hAnsi="Times New Roman" w:cs="Times New Roman"/>
          <w:color w:val="0D0D0D" w:themeColor="text1" w:themeTint="F2"/>
          <w:sz w:val="24"/>
          <w:szCs w:val="24"/>
        </w:rPr>
        <w:t xml:space="preserve">emic control in </w:t>
      </w:r>
      <w:r w:rsidR="00141404">
        <w:rPr>
          <w:rFonts w:ascii="Times New Roman" w:hAnsi="Times New Roman" w:cs="Times New Roman"/>
          <w:color w:val="0D0D0D" w:themeColor="text1" w:themeTint="F2"/>
          <w:sz w:val="24"/>
          <w:szCs w:val="24"/>
        </w:rPr>
        <w:t>the EDITION 2</w:t>
      </w:r>
      <w:r w:rsidR="004476A0">
        <w:rPr>
          <w:rFonts w:ascii="Times New Roman" w:hAnsi="Times New Roman" w:cs="Times New Roman"/>
          <w:color w:val="0D0D0D" w:themeColor="text1" w:themeTint="F2"/>
          <w:sz w:val="24"/>
          <w:szCs w:val="24"/>
        </w:rPr>
        <w:t xml:space="preserve"> RCT</w:t>
      </w:r>
      <w:r w:rsidR="00141404">
        <w:rPr>
          <w:rFonts w:ascii="Times New Roman" w:hAnsi="Times New Roman" w:cs="Times New Roman"/>
          <w:color w:val="0D0D0D" w:themeColor="text1" w:themeTint="F2"/>
          <w:sz w:val="24"/>
          <w:szCs w:val="24"/>
        </w:rPr>
        <w:t xml:space="preserve">, TRANISTION 2 and </w:t>
      </w:r>
      <w:r w:rsidR="004476A0">
        <w:rPr>
          <w:rFonts w:ascii="Times New Roman" w:hAnsi="Times New Roman" w:cs="Times New Roman"/>
          <w:color w:val="0D0D0D" w:themeColor="text1" w:themeTint="F2"/>
          <w:sz w:val="24"/>
          <w:szCs w:val="24"/>
        </w:rPr>
        <w:t>o</w:t>
      </w:r>
      <w:r w:rsidR="00141404">
        <w:rPr>
          <w:rFonts w:ascii="Times New Roman" w:hAnsi="Times New Roman" w:cs="Times New Roman"/>
          <w:color w:val="0D0D0D" w:themeColor="text1" w:themeTint="F2"/>
          <w:sz w:val="24"/>
          <w:szCs w:val="24"/>
        </w:rPr>
        <w:t>the</w:t>
      </w:r>
      <w:r w:rsidR="004476A0">
        <w:rPr>
          <w:rFonts w:ascii="Times New Roman" w:hAnsi="Times New Roman" w:cs="Times New Roman"/>
          <w:color w:val="0D0D0D" w:themeColor="text1" w:themeTint="F2"/>
          <w:sz w:val="24"/>
          <w:szCs w:val="24"/>
        </w:rPr>
        <w:t>r</w:t>
      </w:r>
      <w:r w:rsidR="0034184C">
        <w:rPr>
          <w:rFonts w:ascii="Times New Roman" w:hAnsi="Times New Roman" w:cs="Times New Roman"/>
          <w:color w:val="0D0D0D" w:themeColor="text1" w:themeTint="F2"/>
          <w:sz w:val="24"/>
          <w:szCs w:val="24"/>
        </w:rPr>
        <w:t xml:space="preserve"> </w:t>
      </w:r>
      <w:r w:rsidR="00DA03D5">
        <w:rPr>
          <w:rFonts w:ascii="Times New Roman" w:hAnsi="Times New Roman" w:cs="Times New Roman"/>
          <w:color w:val="0D0D0D" w:themeColor="text1" w:themeTint="F2"/>
          <w:sz w:val="24"/>
          <w:szCs w:val="24"/>
        </w:rPr>
        <w:t>real-world studies</w:t>
      </w:r>
      <w:r w:rsidR="009B5377">
        <w:rPr>
          <w:rFonts w:ascii="Times New Roman" w:hAnsi="Times New Roman" w:cs="Times New Roman"/>
          <w:color w:val="0D0D0D" w:themeColor="text1" w:themeTint="F2"/>
          <w:sz w:val="24"/>
          <w:szCs w:val="24"/>
        </w:rPr>
        <w:t xml:space="preserve"> [</w:t>
      </w:r>
      <w:r w:rsidR="00921D84">
        <w:rPr>
          <w:rFonts w:ascii="Times New Roman" w:hAnsi="Times New Roman" w:cs="Times New Roman"/>
          <w:color w:val="0D0D0D" w:themeColor="text1" w:themeTint="F2"/>
          <w:sz w:val="24"/>
          <w:szCs w:val="24"/>
        </w:rPr>
        <w:t xml:space="preserve">19, 20, </w:t>
      </w:r>
      <w:r w:rsidR="009B5377">
        <w:rPr>
          <w:rFonts w:ascii="Times New Roman" w:hAnsi="Times New Roman" w:cs="Times New Roman"/>
          <w:color w:val="0D0D0D" w:themeColor="text1" w:themeTint="F2"/>
          <w:sz w:val="24"/>
          <w:szCs w:val="24"/>
        </w:rPr>
        <w:t>2</w:t>
      </w:r>
      <w:r w:rsidR="00087019">
        <w:rPr>
          <w:rFonts w:ascii="Times New Roman" w:hAnsi="Times New Roman" w:cs="Times New Roman"/>
          <w:color w:val="0D0D0D" w:themeColor="text1" w:themeTint="F2"/>
          <w:sz w:val="24"/>
          <w:szCs w:val="24"/>
        </w:rPr>
        <w:t>4</w:t>
      </w:r>
      <w:r w:rsidR="009B5377">
        <w:rPr>
          <w:rFonts w:ascii="Times New Roman" w:hAnsi="Times New Roman" w:cs="Times New Roman"/>
          <w:color w:val="0D0D0D" w:themeColor="text1" w:themeTint="F2"/>
          <w:sz w:val="24"/>
          <w:szCs w:val="24"/>
        </w:rPr>
        <w:t>, 2</w:t>
      </w:r>
      <w:r w:rsidR="00087019">
        <w:rPr>
          <w:rFonts w:ascii="Times New Roman" w:hAnsi="Times New Roman" w:cs="Times New Roman"/>
          <w:color w:val="0D0D0D" w:themeColor="text1" w:themeTint="F2"/>
          <w:sz w:val="24"/>
          <w:szCs w:val="24"/>
        </w:rPr>
        <w:t>5</w:t>
      </w:r>
      <w:r w:rsidR="009B5377">
        <w:rPr>
          <w:rFonts w:ascii="Times New Roman" w:hAnsi="Times New Roman" w:cs="Times New Roman"/>
          <w:color w:val="0D0D0D" w:themeColor="text1" w:themeTint="F2"/>
          <w:sz w:val="24"/>
          <w:szCs w:val="24"/>
        </w:rPr>
        <w:t>]</w:t>
      </w:r>
      <w:r w:rsidR="0023210F">
        <w:rPr>
          <w:rFonts w:ascii="Times New Roman" w:hAnsi="Times New Roman" w:cs="Times New Roman"/>
          <w:color w:val="0D0D0D" w:themeColor="text1" w:themeTint="F2"/>
          <w:sz w:val="24"/>
          <w:szCs w:val="24"/>
        </w:rPr>
        <w:t xml:space="preserve">. </w:t>
      </w:r>
      <w:r w:rsidR="0023210F">
        <w:rPr>
          <w:rFonts w:ascii="Times New Roman" w:hAnsi="Times New Roman" w:cs="Times New Roman"/>
          <w:color w:val="0D0D0D" w:themeColor="text1" w:themeTint="F2"/>
          <w:sz w:val="24"/>
          <w:szCs w:val="24"/>
        </w:rPr>
        <w:lastRenderedPageBreak/>
        <w:t xml:space="preserve">The results of the ARTEMIS-DM study also </w:t>
      </w:r>
      <w:r w:rsidR="009B5377" w:rsidRPr="00842FE5">
        <w:rPr>
          <w:rFonts w:ascii="Times New Roman" w:hAnsi="Times New Roman" w:cs="Times New Roman"/>
          <w:color w:val="0D0D0D" w:themeColor="text1" w:themeTint="F2"/>
          <w:sz w:val="24"/>
          <w:szCs w:val="24"/>
        </w:rPr>
        <w:t>confirm</w:t>
      </w:r>
      <w:r w:rsidR="00860B6F" w:rsidRPr="00842FE5">
        <w:rPr>
          <w:rFonts w:ascii="Times New Roman" w:hAnsi="Times New Roman" w:cs="Times New Roman"/>
          <w:color w:val="0D0D0D" w:themeColor="text1" w:themeTint="F2"/>
          <w:sz w:val="24"/>
          <w:szCs w:val="24"/>
        </w:rPr>
        <w:t xml:space="preserve"> that switching to Gla-300 treatment with optimal titration results in clinically significant reductions in </w:t>
      </w:r>
      <w:r w:rsidR="00860B6F">
        <w:rPr>
          <w:rFonts w:ascii="Times New Roman" w:hAnsi="Times New Roman" w:cs="Times New Roman"/>
          <w:color w:val="0D0D0D" w:themeColor="text1" w:themeTint="F2"/>
          <w:sz w:val="24"/>
          <w:szCs w:val="24"/>
        </w:rPr>
        <w:t>HbA</w:t>
      </w:r>
      <w:r w:rsidR="00860B6F" w:rsidRPr="00087019">
        <w:rPr>
          <w:rFonts w:ascii="Times New Roman" w:hAnsi="Times New Roman" w:cs="Times New Roman"/>
          <w:color w:val="0D0D0D" w:themeColor="text1" w:themeTint="F2"/>
          <w:sz w:val="24"/>
          <w:szCs w:val="24"/>
          <w:vertAlign w:val="subscript"/>
        </w:rPr>
        <w:t>1c</w:t>
      </w:r>
      <w:r w:rsidR="00860B6F">
        <w:rPr>
          <w:rFonts w:ascii="Times New Roman" w:hAnsi="Times New Roman" w:cs="Times New Roman"/>
          <w:color w:val="0D0D0D" w:themeColor="text1" w:themeTint="F2"/>
          <w:sz w:val="24"/>
          <w:szCs w:val="24"/>
        </w:rPr>
        <w:t xml:space="preserve"> level.</w:t>
      </w:r>
    </w:p>
    <w:p w14:paraId="0F466995" w14:textId="6B96D1DF" w:rsidR="003C59D2" w:rsidRPr="00842FE5" w:rsidRDefault="00D6519C" w:rsidP="003858C4">
      <w:pPr>
        <w:tabs>
          <w:tab w:val="left" w:pos="709"/>
        </w:tabs>
        <w:spacing w:line="480" w:lineRule="auto"/>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 xml:space="preserve">Along with </w:t>
      </w:r>
      <w:r w:rsidR="00295B55" w:rsidRPr="00842FE5">
        <w:rPr>
          <w:rFonts w:ascii="Times New Roman" w:hAnsi="Times New Roman" w:cs="Times New Roman"/>
          <w:color w:val="0D0D0D" w:themeColor="text1" w:themeTint="F2"/>
          <w:sz w:val="24"/>
          <w:szCs w:val="24"/>
        </w:rPr>
        <w:t>HbA</w:t>
      </w:r>
      <w:r w:rsidR="00295B55" w:rsidRPr="00842FE5">
        <w:rPr>
          <w:rFonts w:ascii="Times New Roman" w:hAnsi="Times New Roman" w:cs="Times New Roman"/>
          <w:color w:val="0D0D0D" w:themeColor="text1" w:themeTint="F2"/>
          <w:sz w:val="24"/>
          <w:szCs w:val="24"/>
          <w:vertAlign w:val="subscript"/>
        </w:rPr>
        <w:t>1c</w:t>
      </w:r>
      <w:r w:rsidR="00295B55" w:rsidRPr="00842FE5">
        <w:rPr>
          <w:rFonts w:ascii="Times New Roman" w:hAnsi="Times New Roman" w:cs="Times New Roman"/>
          <w:color w:val="0D0D0D" w:themeColor="text1" w:themeTint="F2"/>
          <w:sz w:val="24"/>
          <w:szCs w:val="24"/>
        </w:rPr>
        <w:t xml:space="preserve"> reductions, i</w:t>
      </w:r>
      <w:r w:rsidRPr="00842FE5">
        <w:rPr>
          <w:rFonts w:ascii="Times New Roman" w:hAnsi="Times New Roman" w:cs="Times New Roman"/>
          <w:color w:val="0D0D0D" w:themeColor="text1" w:themeTint="F2"/>
          <w:sz w:val="24"/>
          <w:szCs w:val="24"/>
        </w:rPr>
        <w:t>mprovements were also seen in other glyc</w:t>
      </w:r>
      <w:r w:rsidR="00AE495C" w:rsidRPr="00842FE5">
        <w:rPr>
          <w:rFonts w:ascii="Times New Roman" w:hAnsi="Times New Roman" w:cs="Times New Roman"/>
          <w:color w:val="0D0D0D" w:themeColor="text1" w:themeTint="F2"/>
          <w:sz w:val="24"/>
          <w:szCs w:val="24"/>
        </w:rPr>
        <w:t>a</w:t>
      </w:r>
      <w:r w:rsidRPr="00842FE5">
        <w:rPr>
          <w:rFonts w:ascii="Times New Roman" w:hAnsi="Times New Roman" w:cs="Times New Roman"/>
          <w:color w:val="0D0D0D" w:themeColor="text1" w:themeTint="F2"/>
          <w:sz w:val="24"/>
          <w:szCs w:val="24"/>
        </w:rPr>
        <w:t xml:space="preserve">emic parameters </w:t>
      </w:r>
      <w:r w:rsidR="00C52F57" w:rsidRPr="00842FE5">
        <w:rPr>
          <w:rFonts w:ascii="Times New Roman" w:hAnsi="Times New Roman" w:cs="Times New Roman"/>
          <w:color w:val="0D0D0D" w:themeColor="text1" w:themeTint="F2"/>
          <w:sz w:val="24"/>
          <w:szCs w:val="24"/>
        </w:rPr>
        <w:t xml:space="preserve">such as </w:t>
      </w:r>
      <w:r w:rsidRPr="00842FE5">
        <w:rPr>
          <w:rFonts w:ascii="Times New Roman" w:hAnsi="Times New Roman" w:cs="Times New Roman"/>
          <w:color w:val="0D0D0D" w:themeColor="text1" w:themeTint="F2"/>
          <w:sz w:val="24"/>
          <w:szCs w:val="24"/>
        </w:rPr>
        <w:t>FPG</w:t>
      </w:r>
      <w:r w:rsidR="008F07F5" w:rsidRPr="00842FE5">
        <w:rPr>
          <w:rFonts w:ascii="Times New Roman" w:hAnsi="Times New Roman" w:cs="Times New Roman"/>
          <w:color w:val="0D0D0D" w:themeColor="text1" w:themeTint="F2"/>
          <w:sz w:val="24"/>
          <w:szCs w:val="24"/>
        </w:rPr>
        <w:t xml:space="preserve"> </w:t>
      </w:r>
      <w:r w:rsidR="008A0B1A" w:rsidRPr="00842FE5">
        <w:rPr>
          <w:rFonts w:ascii="Times New Roman" w:hAnsi="Times New Roman" w:cs="Times New Roman"/>
          <w:color w:val="0D0D0D" w:themeColor="text1" w:themeTint="F2"/>
          <w:sz w:val="24"/>
          <w:szCs w:val="24"/>
        </w:rPr>
        <w:t xml:space="preserve">and </w:t>
      </w:r>
      <w:r w:rsidR="00D85E7F" w:rsidRPr="00842FE5">
        <w:rPr>
          <w:rFonts w:ascii="Times New Roman" w:hAnsi="Times New Roman" w:cs="Times New Roman"/>
          <w:color w:val="0D0D0D" w:themeColor="text1" w:themeTint="F2"/>
          <w:sz w:val="24"/>
          <w:szCs w:val="24"/>
        </w:rPr>
        <w:t xml:space="preserve">fasting </w:t>
      </w:r>
      <w:r w:rsidR="008A0B1A" w:rsidRPr="00842FE5">
        <w:rPr>
          <w:rFonts w:ascii="Times New Roman" w:hAnsi="Times New Roman" w:cs="Times New Roman"/>
          <w:color w:val="0D0D0D" w:themeColor="text1" w:themeTint="F2"/>
          <w:sz w:val="24"/>
          <w:szCs w:val="24"/>
        </w:rPr>
        <w:t xml:space="preserve">SMPG </w:t>
      </w:r>
      <w:r w:rsidR="00295B55" w:rsidRPr="00842FE5">
        <w:rPr>
          <w:rFonts w:ascii="Times New Roman" w:hAnsi="Times New Roman" w:cs="Times New Roman"/>
          <w:color w:val="0D0D0D" w:themeColor="text1" w:themeTint="F2"/>
          <w:sz w:val="24"/>
          <w:szCs w:val="24"/>
        </w:rPr>
        <w:t xml:space="preserve">in </w:t>
      </w:r>
      <w:r w:rsidR="00BB2E99" w:rsidRPr="00842FE5">
        <w:rPr>
          <w:rFonts w:ascii="Times New Roman" w:hAnsi="Times New Roman" w:cs="Times New Roman"/>
          <w:color w:val="0D0D0D" w:themeColor="text1" w:themeTint="F2"/>
          <w:sz w:val="24"/>
          <w:szCs w:val="24"/>
        </w:rPr>
        <w:t xml:space="preserve">the </w:t>
      </w:r>
      <w:r w:rsidR="00295B55" w:rsidRPr="00842FE5">
        <w:rPr>
          <w:rFonts w:ascii="Times New Roman" w:hAnsi="Times New Roman" w:cs="Times New Roman"/>
          <w:color w:val="0D0D0D" w:themeColor="text1" w:themeTint="F2"/>
          <w:sz w:val="24"/>
          <w:szCs w:val="24"/>
        </w:rPr>
        <w:t>ARTEMIS-DM study</w:t>
      </w:r>
      <w:r w:rsidR="00FF14FE" w:rsidRPr="00842FE5">
        <w:rPr>
          <w:rFonts w:ascii="Times New Roman" w:hAnsi="Times New Roman" w:cs="Times New Roman"/>
          <w:color w:val="0D0D0D" w:themeColor="text1" w:themeTint="F2"/>
          <w:sz w:val="24"/>
          <w:szCs w:val="24"/>
        </w:rPr>
        <w:t>.</w:t>
      </w:r>
      <w:r w:rsidR="00BB2E99" w:rsidRPr="00842FE5">
        <w:rPr>
          <w:rFonts w:ascii="Times New Roman" w:hAnsi="Times New Roman" w:cs="Times New Roman"/>
          <w:color w:val="0D0D0D" w:themeColor="text1" w:themeTint="F2"/>
          <w:sz w:val="24"/>
          <w:szCs w:val="24"/>
        </w:rPr>
        <w:t xml:space="preserve"> </w:t>
      </w:r>
      <w:r w:rsidR="00050D1B" w:rsidRPr="00842FE5">
        <w:rPr>
          <w:rFonts w:ascii="Times New Roman" w:hAnsi="Times New Roman" w:cs="Times New Roman"/>
          <w:color w:val="0D0D0D" w:themeColor="text1" w:themeTint="F2"/>
          <w:sz w:val="24"/>
          <w:szCs w:val="24"/>
        </w:rPr>
        <w:t xml:space="preserve">The FPG reduction observed in </w:t>
      </w:r>
      <w:r w:rsidR="00C52F57" w:rsidRPr="00842FE5">
        <w:rPr>
          <w:rFonts w:ascii="Times New Roman" w:hAnsi="Times New Roman" w:cs="Times New Roman"/>
          <w:color w:val="0D0D0D" w:themeColor="text1" w:themeTint="F2"/>
          <w:sz w:val="24"/>
          <w:szCs w:val="24"/>
        </w:rPr>
        <w:t xml:space="preserve">the </w:t>
      </w:r>
      <w:r w:rsidR="00050D1B" w:rsidRPr="00842FE5">
        <w:rPr>
          <w:rFonts w:ascii="Times New Roman" w:hAnsi="Times New Roman" w:cs="Times New Roman"/>
          <w:color w:val="0D0D0D" w:themeColor="text1" w:themeTint="F2"/>
          <w:sz w:val="24"/>
          <w:szCs w:val="24"/>
        </w:rPr>
        <w:t xml:space="preserve">ARTEMIS-DM study </w:t>
      </w:r>
      <w:r w:rsidR="00073858" w:rsidRPr="00842FE5">
        <w:rPr>
          <w:rFonts w:ascii="Times New Roman" w:hAnsi="Times New Roman" w:cs="Times New Roman"/>
          <w:color w:val="0D0D0D" w:themeColor="text1" w:themeTint="F2"/>
          <w:sz w:val="24"/>
          <w:szCs w:val="24"/>
        </w:rPr>
        <w:t>(</w:t>
      </w:r>
      <w:r w:rsidR="00C57409" w:rsidRPr="00842FE5">
        <w:rPr>
          <w:rFonts w:ascii="Times New Roman" w:hAnsi="Times New Roman" w:cs="Times New Roman"/>
          <w:color w:val="0D0D0D" w:themeColor="text1" w:themeTint="F2"/>
          <w:sz w:val="24"/>
          <w:szCs w:val="24"/>
        </w:rPr>
        <w:t>−29.88 mg/dL [</w:t>
      </w:r>
      <w:r w:rsidR="00073858" w:rsidRPr="00842FE5">
        <w:rPr>
          <w:rFonts w:ascii="Times New Roman" w:hAnsi="Times New Roman" w:cs="Times New Roman"/>
          <w:color w:val="0D0D0D" w:themeColor="text1" w:themeTint="F2"/>
          <w:sz w:val="24"/>
          <w:szCs w:val="24"/>
        </w:rPr>
        <w:t>−1.66</w:t>
      </w:r>
      <w:r w:rsidR="00952990" w:rsidRPr="00842FE5">
        <w:rPr>
          <w:rFonts w:ascii="Times New Roman" w:hAnsi="Times New Roman" w:cs="Times New Roman"/>
          <w:color w:val="0D0D0D" w:themeColor="text1" w:themeTint="F2"/>
          <w:sz w:val="24"/>
          <w:szCs w:val="24"/>
        </w:rPr>
        <w:t xml:space="preserve"> mmol/L</w:t>
      </w:r>
      <w:r w:rsidR="00C57409" w:rsidRPr="00842FE5">
        <w:rPr>
          <w:rFonts w:ascii="Times New Roman" w:hAnsi="Times New Roman" w:cs="Times New Roman"/>
          <w:color w:val="0D0D0D" w:themeColor="text1" w:themeTint="F2"/>
          <w:sz w:val="24"/>
          <w:szCs w:val="24"/>
        </w:rPr>
        <w:t>]</w:t>
      </w:r>
      <w:r w:rsidR="00073858" w:rsidRPr="00842FE5">
        <w:rPr>
          <w:rFonts w:ascii="Times New Roman" w:hAnsi="Times New Roman" w:cs="Times New Roman"/>
          <w:color w:val="0D0D0D" w:themeColor="text1" w:themeTint="F2"/>
          <w:sz w:val="24"/>
          <w:szCs w:val="24"/>
        </w:rPr>
        <w:t xml:space="preserve">) </w:t>
      </w:r>
      <w:r w:rsidR="00050D1B" w:rsidRPr="00842FE5">
        <w:rPr>
          <w:rFonts w:ascii="Times New Roman" w:hAnsi="Times New Roman" w:cs="Times New Roman"/>
          <w:color w:val="0D0D0D" w:themeColor="text1" w:themeTint="F2"/>
          <w:sz w:val="24"/>
          <w:szCs w:val="24"/>
        </w:rPr>
        <w:t xml:space="preserve">was greater than that </w:t>
      </w:r>
      <w:r w:rsidR="00A33E8A" w:rsidRPr="00842FE5">
        <w:rPr>
          <w:rFonts w:ascii="Times New Roman" w:hAnsi="Times New Roman" w:cs="Times New Roman"/>
          <w:color w:val="0D0D0D" w:themeColor="text1" w:themeTint="F2"/>
          <w:sz w:val="24"/>
          <w:szCs w:val="24"/>
        </w:rPr>
        <w:t xml:space="preserve">reported in </w:t>
      </w:r>
      <w:r w:rsidR="00BC5DEE" w:rsidRPr="00842FE5">
        <w:rPr>
          <w:rFonts w:ascii="Times New Roman" w:hAnsi="Times New Roman" w:cs="Times New Roman"/>
          <w:color w:val="0D0D0D" w:themeColor="text1" w:themeTint="F2"/>
          <w:sz w:val="24"/>
          <w:szCs w:val="24"/>
        </w:rPr>
        <w:t xml:space="preserve">the </w:t>
      </w:r>
      <w:r w:rsidR="006610DB" w:rsidRPr="00842FE5">
        <w:rPr>
          <w:rFonts w:ascii="Times New Roman" w:hAnsi="Times New Roman" w:cs="Times New Roman"/>
          <w:color w:val="0D0D0D" w:themeColor="text1" w:themeTint="F2"/>
          <w:sz w:val="24"/>
          <w:szCs w:val="24"/>
        </w:rPr>
        <w:t>EDITION 2</w:t>
      </w:r>
      <w:r w:rsidR="00983D85" w:rsidRPr="00842FE5">
        <w:rPr>
          <w:rFonts w:ascii="Times New Roman" w:hAnsi="Times New Roman" w:cs="Times New Roman"/>
          <w:color w:val="0D0D0D" w:themeColor="text1" w:themeTint="F2"/>
          <w:sz w:val="24"/>
          <w:szCs w:val="24"/>
        </w:rPr>
        <w:t xml:space="preserve"> </w:t>
      </w:r>
      <w:r w:rsidR="00742CC7">
        <w:rPr>
          <w:rFonts w:ascii="Times New Roman" w:hAnsi="Times New Roman" w:cs="Times New Roman"/>
          <w:color w:val="0D0D0D" w:themeColor="text1" w:themeTint="F2"/>
          <w:sz w:val="24"/>
          <w:szCs w:val="24"/>
        </w:rPr>
        <w:t>RCT</w:t>
      </w:r>
      <w:r w:rsidR="007469E1" w:rsidRPr="00842FE5">
        <w:rPr>
          <w:rFonts w:ascii="Times New Roman" w:hAnsi="Times New Roman" w:cs="Times New Roman"/>
          <w:color w:val="0D0D0D" w:themeColor="text1" w:themeTint="F2"/>
          <w:sz w:val="24"/>
          <w:szCs w:val="24"/>
        </w:rPr>
        <w:t xml:space="preserve"> </w:t>
      </w:r>
      <w:r w:rsidR="006610DB" w:rsidRPr="00842FE5">
        <w:rPr>
          <w:rFonts w:ascii="Times New Roman" w:hAnsi="Times New Roman" w:cs="Times New Roman"/>
          <w:color w:val="0D0D0D" w:themeColor="text1" w:themeTint="F2"/>
          <w:sz w:val="24"/>
          <w:szCs w:val="24"/>
        </w:rPr>
        <w:t>(−1.14 mmol/L)</w:t>
      </w:r>
      <w:r w:rsidR="00983D85" w:rsidRPr="00842FE5">
        <w:rPr>
          <w:rFonts w:ascii="Times New Roman" w:hAnsi="Times New Roman" w:cs="Times New Roman"/>
          <w:color w:val="0D0D0D" w:themeColor="text1" w:themeTint="F2"/>
          <w:sz w:val="24"/>
          <w:szCs w:val="24"/>
        </w:rPr>
        <w:t xml:space="preserve"> [19]</w:t>
      </w:r>
      <w:r w:rsidR="00952990" w:rsidRPr="00842FE5">
        <w:rPr>
          <w:rFonts w:ascii="Times New Roman" w:hAnsi="Times New Roman" w:cs="Times New Roman"/>
          <w:color w:val="0D0D0D" w:themeColor="text1" w:themeTint="F2"/>
          <w:sz w:val="24"/>
          <w:szCs w:val="24"/>
        </w:rPr>
        <w:t>.</w:t>
      </w:r>
      <w:r w:rsidR="006610DB" w:rsidRPr="00842FE5">
        <w:rPr>
          <w:rFonts w:ascii="Times New Roman" w:hAnsi="Times New Roman" w:cs="Times New Roman"/>
          <w:color w:val="0D0D0D" w:themeColor="text1" w:themeTint="F2"/>
          <w:sz w:val="24"/>
          <w:szCs w:val="24"/>
        </w:rPr>
        <w:t xml:space="preserve"> </w:t>
      </w:r>
      <w:r w:rsidR="005602BB" w:rsidRPr="00842FE5">
        <w:rPr>
          <w:rFonts w:ascii="Times New Roman" w:hAnsi="Times New Roman" w:cs="Times New Roman"/>
          <w:color w:val="0D0D0D" w:themeColor="text1" w:themeTint="F2"/>
          <w:sz w:val="24"/>
          <w:szCs w:val="24"/>
        </w:rPr>
        <w:t xml:space="preserve">The changes from baseline to 6 months in FPG and fasting SMPG were not reported in </w:t>
      </w:r>
      <w:r w:rsidR="00EC4109" w:rsidRPr="00842FE5">
        <w:rPr>
          <w:rFonts w:ascii="Times New Roman" w:hAnsi="Times New Roman" w:cs="Times New Roman"/>
          <w:color w:val="0D0D0D" w:themeColor="text1" w:themeTint="F2"/>
          <w:sz w:val="24"/>
          <w:szCs w:val="24"/>
        </w:rPr>
        <w:t>TRANSITION 2 and DELIVER 2</w:t>
      </w:r>
      <w:r w:rsidR="00BC5DEE" w:rsidRPr="00842FE5">
        <w:rPr>
          <w:rFonts w:ascii="Times New Roman" w:hAnsi="Times New Roman" w:cs="Times New Roman"/>
          <w:color w:val="0D0D0D" w:themeColor="text1" w:themeTint="F2"/>
          <w:sz w:val="24"/>
          <w:szCs w:val="24"/>
        </w:rPr>
        <w:t xml:space="preserve"> studies</w:t>
      </w:r>
      <w:r w:rsidR="005472A5" w:rsidRPr="00842FE5">
        <w:rPr>
          <w:rFonts w:ascii="Times New Roman" w:hAnsi="Times New Roman" w:cs="Times New Roman"/>
          <w:color w:val="0D0D0D" w:themeColor="text1" w:themeTint="F2"/>
          <w:sz w:val="24"/>
          <w:szCs w:val="24"/>
        </w:rPr>
        <w:t xml:space="preserve"> [20,</w:t>
      </w:r>
      <w:r w:rsidR="007F378A" w:rsidRPr="00842FE5">
        <w:rPr>
          <w:rFonts w:ascii="Times New Roman" w:hAnsi="Times New Roman" w:cs="Times New Roman"/>
          <w:color w:val="0D0D0D" w:themeColor="text1" w:themeTint="F2"/>
          <w:sz w:val="24"/>
          <w:szCs w:val="24"/>
        </w:rPr>
        <w:t xml:space="preserve"> </w:t>
      </w:r>
      <w:r w:rsidR="005472A5" w:rsidRPr="00842FE5">
        <w:rPr>
          <w:rFonts w:ascii="Times New Roman" w:hAnsi="Times New Roman" w:cs="Times New Roman"/>
          <w:color w:val="0D0D0D" w:themeColor="text1" w:themeTint="F2"/>
          <w:sz w:val="24"/>
          <w:szCs w:val="24"/>
        </w:rPr>
        <w:t>21]</w:t>
      </w:r>
      <w:r w:rsidR="00EC4109" w:rsidRPr="00842FE5">
        <w:rPr>
          <w:rFonts w:ascii="Times New Roman" w:hAnsi="Times New Roman" w:cs="Times New Roman"/>
          <w:color w:val="0D0D0D" w:themeColor="text1" w:themeTint="F2"/>
          <w:sz w:val="24"/>
          <w:szCs w:val="24"/>
        </w:rPr>
        <w:t>.</w:t>
      </w:r>
      <w:r w:rsidR="00FE76BD" w:rsidRPr="00842FE5">
        <w:rPr>
          <w:rFonts w:ascii="Times New Roman" w:hAnsi="Times New Roman" w:cs="Times New Roman"/>
          <w:color w:val="0D0D0D" w:themeColor="text1" w:themeTint="F2"/>
          <w:sz w:val="24"/>
          <w:szCs w:val="24"/>
        </w:rPr>
        <w:t xml:space="preserve"> </w:t>
      </w:r>
      <w:r w:rsidR="0022637C" w:rsidRPr="00842FE5">
        <w:rPr>
          <w:rFonts w:ascii="Times New Roman" w:hAnsi="Times New Roman" w:cs="Times New Roman"/>
          <w:color w:val="0D0D0D" w:themeColor="text1" w:themeTint="F2"/>
          <w:sz w:val="24"/>
          <w:szCs w:val="24"/>
        </w:rPr>
        <w:t xml:space="preserve">Despite the </w:t>
      </w:r>
      <w:r w:rsidR="008E009F" w:rsidRPr="00842FE5">
        <w:rPr>
          <w:rFonts w:ascii="Times New Roman" w:hAnsi="Times New Roman" w:cs="Times New Roman"/>
          <w:color w:val="0D0D0D" w:themeColor="text1" w:themeTint="F2"/>
          <w:sz w:val="24"/>
          <w:szCs w:val="24"/>
        </w:rPr>
        <w:t>clinically significant HbA</w:t>
      </w:r>
      <w:r w:rsidR="008E009F" w:rsidRPr="00842FE5">
        <w:rPr>
          <w:rFonts w:ascii="Times New Roman" w:hAnsi="Times New Roman" w:cs="Times New Roman"/>
          <w:color w:val="0D0D0D" w:themeColor="text1" w:themeTint="F2"/>
          <w:sz w:val="24"/>
          <w:szCs w:val="24"/>
          <w:vertAlign w:val="subscript"/>
        </w:rPr>
        <w:t>1c</w:t>
      </w:r>
      <w:r w:rsidR="008E009F" w:rsidRPr="00842FE5">
        <w:rPr>
          <w:rFonts w:ascii="Times New Roman" w:hAnsi="Times New Roman" w:cs="Times New Roman"/>
          <w:color w:val="0D0D0D" w:themeColor="text1" w:themeTint="F2"/>
          <w:sz w:val="24"/>
          <w:szCs w:val="24"/>
        </w:rPr>
        <w:t xml:space="preserve"> reduction i</w:t>
      </w:r>
      <w:r w:rsidR="0050511C" w:rsidRPr="00842FE5">
        <w:rPr>
          <w:rFonts w:ascii="Times New Roman" w:hAnsi="Times New Roman" w:cs="Times New Roman"/>
          <w:color w:val="0D0D0D" w:themeColor="text1" w:themeTint="F2"/>
          <w:sz w:val="24"/>
          <w:szCs w:val="24"/>
        </w:rPr>
        <w:t xml:space="preserve">n </w:t>
      </w:r>
      <w:r w:rsidR="00801E3D" w:rsidRPr="00842FE5">
        <w:rPr>
          <w:rFonts w:ascii="Times New Roman" w:hAnsi="Times New Roman" w:cs="Times New Roman"/>
          <w:color w:val="0D0D0D" w:themeColor="text1" w:themeTint="F2"/>
          <w:sz w:val="24"/>
          <w:szCs w:val="24"/>
        </w:rPr>
        <w:t xml:space="preserve">the </w:t>
      </w:r>
      <w:r w:rsidR="0050511C" w:rsidRPr="00842FE5">
        <w:rPr>
          <w:rFonts w:ascii="Times New Roman" w:hAnsi="Times New Roman" w:cs="Times New Roman"/>
          <w:color w:val="0D0D0D" w:themeColor="text1" w:themeTint="F2"/>
          <w:sz w:val="24"/>
          <w:szCs w:val="24"/>
        </w:rPr>
        <w:t>ARTEMIS-DM study</w:t>
      </w:r>
      <w:r w:rsidR="00A70531" w:rsidRPr="00842FE5">
        <w:rPr>
          <w:rFonts w:ascii="Times New Roman" w:hAnsi="Times New Roman" w:cs="Times New Roman"/>
          <w:color w:val="0D0D0D" w:themeColor="text1" w:themeTint="F2"/>
          <w:sz w:val="24"/>
          <w:szCs w:val="24"/>
        </w:rPr>
        <w:t>,</w:t>
      </w:r>
      <w:r w:rsidR="00A22792" w:rsidRPr="00842FE5">
        <w:rPr>
          <w:rFonts w:ascii="Times New Roman" w:hAnsi="Times New Roman" w:cs="Times New Roman"/>
          <w:color w:val="0D0D0D" w:themeColor="text1" w:themeTint="F2"/>
          <w:sz w:val="24"/>
          <w:szCs w:val="24"/>
        </w:rPr>
        <w:t xml:space="preserve"> </w:t>
      </w:r>
      <w:r w:rsidR="00BE7115" w:rsidRPr="00842FE5">
        <w:rPr>
          <w:rFonts w:ascii="Times New Roman" w:hAnsi="Times New Roman" w:cs="Times New Roman"/>
          <w:color w:val="0D0D0D" w:themeColor="text1" w:themeTint="F2"/>
          <w:sz w:val="24"/>
          <w:szCs w:val="24"/>
        </w:rPr>
        <w:t>18</w:t>
      </w:r>
      <w:r w:rsidR="0050511C" w:rsidRPr="00842FE5">
        <w:rPr>
          <w:rFonts w:ascii="Times New Roman" w:hAnsi="Times New Roman" w:cs="Times New Roman"/>
          <w:color w:val="0D0D0D" w:themeColor="text1" w:themeTint="F2"/>
          <w:sz w:val="24"/>
          <w:szCs w:val="24"/>
        </w:rPr>
        <w:t>.5</w:t>
      </w:r>
      <w:r w:rsidR="00BE7115" w:rsidRPr="00842FE5">
        <w:rPr>
          <w:rFonts w:ascii="Times New Roman" w:hAnsi="Times New Roman" w:cs="Times New Roman"/>
          <w:color w:val="0D0D0D" w:themeColor="text1" w:themeTint="F2"/>
          <w:sz w:val="24"/>
          <w:szCs w:val="24"/>
        </w:rPr>
        <w:t>% of participants achieved target HbA</w:t>
      </w:r>
      <w:r w:rsidR="00BE7115" w:rsidRPr="00842FE5">
        <w:rPr>
          <w:rFonts w:ascii="Times New Roman" w:hAnsi="Times New Roman" w:cs="Times New Roman"/>
          <w:color w:val="0D0D0D" w:themeColor="text1" w:themeTint="F2"/>
          <w:sz w:val="24"/>
          <w:szCs w:val="24"/>
          <w:vertAlign w:val="subscript"/>
        </w:rPr>
        <w:t>1c</w:t>
      </w:r>
      <w:r w:rsidR="00BE7115" w:rsidRPr="00842FE5">
        <w:rPr>
          <w:rFonts w:ascii="Times New Roman" w:hAnsi="Times New Roman" w:cs="Times New Roman"/>
          <w:color w:val="0D0D0D" w:themeColor="text1" w:themeTint="F2"/>
          <w:sz w:val="24"/>
          <w:szCs w:val="24"/>
        </w:rPr>
        <w:t xml:space="preserve"> &lt;7.0%</w:t>
      </w:r>
      <w:r w:rsidR="008E009F" w:rsidRPr="00842FE5">
        <w:rPr>
          <w:rFonts w:ascii="Times New Roman" w:hAnsi="Times New Roman" w:cs="Times New Roman"/>
          <w:color w:val="0D0D0D" w:themeColor="text1" w:themeTint="F2"/>
          <w:sz w:val="24"/>
          <w:szCs w:val="24"/>
        </w:rPr>
        <w:t>.</w:t>
      </w:r>
      <w:r w:rsidR="006A0C8B" w:rsidRPr="00842FE5">
        <w:rPr>
          <w:rFonts w:ascii="Times New Roman" w:hAnsi="Times New Roman" w:cs="Times New Roman"/>
          <w:color w:val="0D0D0D" w:themeColor="text1" w:themeTint="F2"/>
          <w:sz w:val="24"/>
          <w:szCs w:val="24"/>
        </w:rPr>
        <w:t xml:space="preserve"> </w:t>
      </w:r>
      <w:r w:rsidR="00422C81" w:rsidRPr="00842FE5">
        <w:rPr>
          <w:rFonts w:ascii="Times New Roman" w:hAnsi="Times New Roman" w:cs="Times New Roman"/>
          <w:color w:val="0D0D0D" w:themeColor="text1" w:themeTint="F2"/>
          <w:sz w:val="24"/>
          <w:szCs w:val="24"/>
        </w:rPr>
        <w:t xml:space="preserve">The same </w:t>
      </w:r>
      <w:r w:rsidR="00C710BA" w:rsidRPr="00842FE5">
        <w:rPr>
          <w:rFonts w:ascii="Times New Roman" w:hAnsi="Times New Roman" w:cs="Times New Roman"/>
          <w:color w:val="0D0D0D" w:themeColor="text1" w:themeTint="F2"/>
          <w:sz w:val="24"/>
          <w:szCs w:val="24"/>
        </w:rPr>
        <w:t>glycaemic target achieve</w:t>
      </w:r>
      <w:r w:rsidR="009D29D5" w:rsidRPr="00842FE5">
        <w:rPr>
          <w:rFonts w:ascii="Times New Roman" w:hAnsi="Times New Roman" w:cs="Times New Roman"/>
          <w:color w:val="0D0D0D" w:themeColor="text1" w:themeTint="F2"/>
          <w:sz w:val="24"/>
          <w:szCs w:val="24"/>
        </w:rPr>
        <w:t>ment</w:t>
      </w:r>
      <w:r w:rsidR="00C710BA" w:rsidRPr="00842FE5">
        <w:rPr>
          <w:rFonts w:ascii="Times New Roman" w:hAnsi="Times New Roman" w:cs="Times New Roman"/>
          <w:color w:val="0D0D0D" w:themeColor="text1" w:themeTint="F2"/>
          <w:sz w:val="24"/>
          <w:szCs w:val="24"/>
        </w:rPr>
        <w:t xml:space="preserve"> </w:t>
      </w:r>
      <w:r w:rsidR="009D29D5" w:rsidRPr="00842FE5">
        <w:rPr>
          <w:rFonts w:ascii="Times New Roman" w:hAnsi="Times New Roman" w:cs="Times New Roman"/>
          <w:color w:val="0D0D0D" w:themeColor="text1" w:themeTint="F2"/>
          <w:sz w:val="24"/>
          <w:szCs w:val="24"/>
        </w:rPr>
        <w:t xml:space="preserve">was higher </w:t>
      </w:r>
      <w:r w:rsidR="00422C81" w:rsidRPr="00842FE5">
        <w:rPr>
          <w:rFonts w:ascii="Times New Roman" w:hAnsi="Times New Roman" w:cs="Times New Roman"/>
          <w:color w:val="0D0D0D" w:themeColor="text1" w:themeTint="F2"/>
          <w:sz w:val="24"/>
          <w:szCs w:val="24"/>
        </w:rPr>
        <w:t>(</w:t>
      </w:r>
      <w:r w:rsidR="00C710BA" w:rsidRPr="00842FE5">
        <w:rPr>
          <w:rFonts w:ascii="Times New Roman" w:hAnsi="Times New Roman" w:cs="Times New Roman"/>
          <w:color w:val="0D0D0D" w:themeColor="text1" w:themeTint="F2"/>
          <w:sz w:val="24"/>
          <w:szCs w:val="24"/>
        </w:rPr>
        <w:t>30.6%</w:t>
      </w:r>
      <w:r w:rsidR="00422C81" w:rsidRPr="00842FE5">
        <w:rPr>
          <w:rFonts w:ascii="Times New Roman" w:hAnsi="Times New Roman" w:cs="Times New Roman"/>
          <w:color w:val="0D0D0D" w:themeColor="text1" w:themeTint="F2"/>
          <w:sz w:val="24"/>
          <w:szCs w:val="24"/>
        </w:rPr>
        <w:t>)</w:t>
      </w:r>
      <w:r w:rsidR="00C710BA" w:rsidRPr="00842FE5">
        <w:rPr>
          <w:rFonts w:ascii="Times New Roman" w:hAnsi="Times New Roman" w:cs="Times New Roman"/>
          <w:color w:val="0D0D0D" w:themeColor="text1" w:themeTint="F2"/>
          <w:sz w:val="24"/>
          <w:szCs w:val="24"/>
        </w:rPr>
        <w:t xml:space="preserve"> in </w:t>
      </w:r>
      <w:r w:rsidR="00801E3D" w:rsidRPr="00842FE5">
        <w:rPr>
          <w:rFonts w:ascii="Times New Roman" w:hAnsi="Times New Roman" w:cs="Times New Roman"/>
          <w:color w:val="0D0D0D" w:themeColor="text1" w:themeTint="F2"/>
          <w:sz w:val="24"/>
          <w:szCs w:val="24"/>
        </w:rPr>
        <w:t xml:space="preserve">the </w:t>
      </w:r>
      <w:r w:rsidR="001B2646" w:rsidRPr="00842FE5">
        <w:rPr>
          <w:rFonts w:ascii="Times New Roman" w:hAnsi="Times New Roman" w:cs="Times New Roman"/>
          <w:color w:val="0D0D0D" w:themeColor="text1" w:themeTint="F2"/>
          <w:sz w:val="24"/>
          <w:szCs w:val="24"/>
        </w:rPr>
        <w:t>EDITION 2</w:t>
      </w:r>
      <w:r w:rsidR="007C6708" w:rsidRPr="00842FE5">
        <w:rPr>
          <w:rFonts w:ascii="Times New Roman" w:hAnsi="Times New Roman" w:cs="Times New Roman"/>
          <w:color w:val="0D0D0D" w:themeColor="text1" w:themeTint="F2"/>
          <w:sz w:val="24"/>
          <w:szCs w:val="24"/>
        </w:rPr>
        <w:t xml:space="preserve"> </w:t>
      </w:r>
      <w:r w:rsidR="007C0B4E" w:rsidRPr="00842FE5">
        <w:rPr>
          <w:rFonts w:ascii="Times New Roman" w:hAnsi="Times New Roman" w:cs="Times New Roman"/>
          <w:color w:val="0D0D0D" w:themeColor="text1" w:themeTint="F2"/>
          <w:sz w:val="24"/>
          <w:szCs w:val="24"/>
        </w:rPr>
        <w:t xml:space="preserve">RCT </w:t>
      </w:r>
      <w:r w:rsidR="008B4700" w:rsidRPr="00842FE5">
        <w:rPr>
          <w:rFonts w:ascii="Times New Roman" w:hAnsi="Times New Roman" w:cs="Times New Roman"/>
          <w:color w:val="0D0D0D" w:themeColor="text1" w:themeTint="F2"/>
          <w:sz w:val="24"/>
          <w:szCs w:val="24"/>
        </w:rPr>
        <w:t>but</w:t>
      </w:r>
      <w:r w:rsidR="007C6708" w:rsidRPr="00842FE5">
        <w:rPr>
          <w:rFonts w:ascii="Times New Roman" w:hAnsi="Times New Roman" w:cs="Times New Roman"/>
          <w:color w:val="0D0D0D" w:themeColor="text1" w:themeTint="F2"/>
          <w:sz w:val="24"/>
          <w:szCs w:val="24"/>
        </w:rPr>
        <w:t xml:space="preserve"> </w:t>
      </w:r>
      <w:r w:rsidR="00772E69" w:rsidRPr="00842FE5">
        <w:rPr>
          <w:rFonts w:ascii="Times New Roman" w:hAnsi="Times New Roman" w:cs="Times New Roman"/>
          <w:color w:val="0D0D0D" w:themeColor="text1" w:themeTint="F2"/>
          <w:sz w:val="24"/>
          <w:szCs w:val="24"/>
        </w:rPr>
        <w:t xml:space="preserve">was </w:t>
      </w:r>
      <w:r w:rsidR="007C6708" w:rsidRPr="00842FE5">
        <w:rPr>
          <w:rFonts w:ascii="Times New Roman" w:hAnsi="Times New Roman" w:cs="Times New Roman"/>
          <w:color w:val="0D0D0D" w:themeColor="text1" w:themeTint="F2"/>
          <w:sz w:val="24"/>
          <w:szCs w:val="24"/>
        </w:rPr>
        <w:t>lower</w:t>
      </w:r>
      <w:r w:rsidR="001B2646" w:rsidRPr="00842FE5">
        <w:rPr>
          <w:rFonts w:ascii="Times New Roman" w:hAnsi="Times New Roman" w:cs="Times New Roman"/>
          <w:color w:val="0D0D0D" w:themeColor="text1" w:themeTint="F2"/>
          <w:sz w:val="24"/>
          <w:szCs w:val="24"/>
        </w:rPr>
        <w:t xml:space="preserve"> </w:t>
      </w:r>
      <w:r w:rsidR="00422C81" w:rsidRPr="00842FE5">
        <w:rPr>
          <w:rFonts w:ascii="Times New Roman" w:hAnsi="Times New Roman" w:cs="Times New Roman"/>
          <w:color w:val="0D0D0D" w:themeColor="text1" w:themeTint="F2"/>
          <w:sz w:val="24"/>
          <w:szCs w:val="24"/>
        </w:rPr>
        <w:t xml:space="preserve">in </w:t>
      </w:r>
      <w:r w:rsidR="00772E69" w:rsidRPr="00842FE5">
        <w:rPr>
          <w:rFonts w:ascii="Times New Roman" w:hAnsi="Times New Roman" w:cs="Times New Roman"/>
          <w:color w:val="0D0D0D" w:themeColor="text1" w:themeTint="F2"/>
          <w:sz w:val="24"/>
          <w:szCs w:val="24"/>
        </w:rPr>
        <w:t xml:space="preserve">the </w:t>
      </w:r>
      <w:r w:rsidR="00B16B1E" w:rsidRPr="00842FE5">
        <w:rPr>
          <w:rFonts w:ascii="Times New Roman" w:hAnsi="Times New Roman" w:cs="Times New Roman"/>
          <w:color w:val="0D0D0D" w:themeColor="text1" w:themeTint="F2"/>
          <w:sz w:val="24"/>
          <w:szCs w:val="24"/>
        </w:rPr>
        <w:t xml:space="preserve">TRANSITION 2 (11.4%) and </w:t>
      </w:r>
      <w:r w:rsidR="007C0B4E" w:rsidRPr="00842FE5">
        <w:rPr>
          <w:rFonts w:ascii="Times New Roman" w:hAnsi="Times New Roman" w:cs="Times New Roman"/>
          <w:color w:val="0D0D0D" w:themeColor="text1" w:themeTint="F2"/>
          <w:sz w:val="24"/>
          <w:szCs w:val="24"/>
        </w:rPr>
        <w:t xml:space="preserve">real-world </w:t>
      </w:r>
      <w:r w:rsidR="00422C81" w:rsidRPr="00842FE5">
        <w:rPr>
          <w:rFonts w:ascii="Times New Roman" w:hAnsi="Times New Roman" w:cs="Times New Roman"/>
          <w:color w:val="0D0D0D" w:themeColor="text1" w:themeTint="F2"/>
          <w:sz w:val="24"/>
          <w:szCs w:val="24"/>
        </w:rPr>
        <w:t>DELIVER 2 (</w:t>
      </w:r>
      <w:r w:rsidR="001B2646" w:rsidRPr="00842FE5">
        <w:rPr>
          <w:rFonts w:ascii="Times New Roman" w:hAnsi="Times New Roman" w:cs="Times New Roman"/>
          <w:color w:val="0D0D0D" w:themeColor="text1" w:themeTint="F2"/>
          <w:sz w:val="24"/>
          <w:szCs w:val="24"/>
        </w:rPr>
        <w:t>1</w:t>
      </w:r>
      <w:r w:rsidR="007C6708" w:rsidRPr="00842FE5">
        <w:rPr>
          <w:rFonts w:ascii="Times New Roman" w:hAnsi="Times New Roman" w:cs="Times New Roman"/>
          <w:color w:val="0D0D0D" w:themeColor="text1" w:themeTint="F2"/>
          <w:sz w:val="24"/>
          <w:szCs w:val="24"/>
        </w:rPr>
        <w:t xml:space="preserve">6.8%) </w:t>
      </w:r>
      <w:r w:rsidR="00C95B33" w:rsidRPr="00842FE5">
        <w:rPr>
          <w:rFonts w:ascii="Times New Roman" w:hAnsi="Times New Roman" w:cs="Times New Roman"/>
          <w:color w:val="0D0D0D" w:themeColor="text1" w:themeTint="F2"/>
          <w:sz w:val="24"/>
          <w:szCs w:val="24"/>
        </w:rPr>
        <w:t>studies</w:t>
      </w:r>
      <w:r w:rsidR="00772E69" w:rsidRPr="00842FE5">
        <w:rPr>
          <w:rFonts w:ascii="Times New Roman" w:hAnsi="Times New Roman" w:cs="Times New Roman"/>
          <w:color w:val="0D0D0D" w:themeColor="text1" w:themeTint="F2"/>
          <w:sz w:val="24"/>
          <w:szCs w:val="24"/>
        </w:rPr>
        <w:t xml:space="preserve"> [19</w:t>
      </w:r>
      <w:r w:rsidR="007401C4" w:rsidRPr="00842FE5">
        <w:rPr>
          <w:rFonts w:ascii="Times New Roman" w:hAnsi="Times New Roman" w:cs="Times New Roman"/>
          <w:color w:val="0D0D0D" w:themeColor="text1" w:themeTint="F2"/>
          <w:sz w:val="24"/>
          <w:szCs w:val="24"/>
        </w:rPr>
        <w:t>–</w:t>
      </w:r>
      <w:r w:rsidR="00772E69" w:rsidRPr="00842FE5">
        <w:rPr>
          <w:rFonts w:ascii="Times New Roman" w:hAnsi="Times New Roman" w:cs="Times New Roman"/>
          <w:color w:val="0D0D0D" w:themeColor="text1" w:themeTint="F2"/>
          <w:sz w:val="24"/>
          <w:szCs w:val="24"/>
        </w:rPr>
        <w:t>21]</w:t>
      </w:r>
      <w:r w:rsidR="001B2646" w:rsidRPr="00842FE5">
        <w:rPr>
          <w:rFonts w:ascii="Times New Roman" w:hAnsi="Times New Roman" w:cs="Times New Roman"/>
          <w:color w:val="0D0D0D" w:themeColor="text1" w:themeTint="F2"/>
          <w:sz w:val="24"/>
          <w:szCs w:val="24"/>
        </w:rPr>
        <w:t>.</w:t>
      </w:r>
      <w:r w:rsidR="004E0BBD" w:rsidRPr="00842FE5">
        <w:rPr>
          <w:rFonts w:ascii="Times New Roman" w:hAnsi="Times New Roman" w:cs="Times New Roman"/>
          <w:color w:val="0D0D0D" w:themeColor="text1" w:themeTint="F2"/>
          <w:sz w:val="24"/>
          <w:szCs w:val="24"/>
        </w:rPr>
        <w:t xml:space="preserve"> </w:t>
      </w:r>
      <w:r w:rsidR="003D1974" w:rsidRPr="00842FE5">
        <w:rPr>
          <w:rFonts w:ascii="Times New Roman" w:hAnsi="Times New Roman" w:cs="Times New Roman"/>
          <w:color w:val="0D0D0D" w:themeColor="text1" w:themeTint="F2"/>
          <w:sz w:val="24"/>
          <w:szCs w:val="24"/>
        </w:rPr>
        <w:t>While t</w:t>
      </w:r>
      <w:r w:rsidR="008A47E9" w:rsidRPr="00842FE5">
        <w:rPr>
          <w:rFonts w:ascii="Times New Roman" w:hAnsi="Times New Roman" w:cs="Times New Roman"/>
          <w:color w:val="0D0D0D" w:themeColor="text1" w:themeTint="F2"/>
          <w:sz w:val="24"/>
          <w:szCs w:val="24"/>
        </w:rPr>
        <w:t xml:space="preserve">hese differences could be </w:t>
      </w:r>
      <w:r w:rsidR="003D1974" w:rsidRPr="00842FE5">
        <w:rPr>
          <w:rFonts w:ascii="Times New Roman" w:hAnsi="Times New Roman" w:cs="Times New Roman"/>
          <w:color w:val="0D0D0D" w:themeColor="text1" w:themeTint="F2"/>
          <w:sz w:val="24"/>
          <w:szCs w:val="24"/>
        </w:rPr>
        <w:t xml:space="preserve">partly </w:t>
      </w:r>
      <w:r w:rsidR="008A47E9" w:rsidRPr="00842FE5">
        <w:rPr>
          <w:rFonts w:ascii="Times New Roman" w:hAnsi="Times New Roman" w:cs="Times New Roman"/>
          <w:color w:val="0D0D0D" w:themeColor="text1" w:themeTint="F2"/>
          <w:sz w:val="24"/>
          <w:szCs w:val="24"/>
        </w:rPr>
        <w:t xml:space="preserve">explained by the </w:t>
      </w:r>
      <w:r w:rsidR="00093A20" w:rsidRPr="00842FE5">
        <w:rPr>
          <w:rFonts w:ascii="Times New Roman" w:hAnsi="Times New Roman" w:cs="Times New Roman"/>
          <w:color w:val="0D0D0D" w:themeColor="text1" w:themeTint="F2"/>
          <w:sz w:val="24"/>
          <w:szCs w:val="24"/>
        </w:rPr>
        <w:t>controlled tr</w:t>
      </w:r>
      <w:r w:rsidR="006B272B" w:rsidRPr="00842FE5">
        <w:rPr>
          <w:rFonts w:ascii="Times New Roman" w:hAnsi="Times New Roman" w:cs="Times New Roman"/>
          <w:color w:val="0D0D0D" w:themeColor="text1" w:themeTint="F2"/>
          <w:sz w:val="24"/>
          <w:szCs w:val="24"/>
        </w:rPr>
        <w:t>i</w:t>
      </w:r>
      <w:r w:rsidR="00093A20" w:rsidRPr="00842FE5">
        <w:rPr>
          <w:rFonts w:ascii="Times New Roman" w:hAnsi="Times New Roman" w:cs="Times New Roman"/>
          <w:color w:val="0D0D0D" w:themeColor="text1" w:themeTint="F2"/>
          <w:sz w:val="24"/>
          <w:szCs w:val="24"/>
        </w:rPr>
        <w:t>al design and lower baseline HbA</w:t>
      </w:r>
      <w:r w:rsidR="00093A20" w:rsidRPr="00842FE5">
        <w:rPr>
          <w:rFonts w:ascii="Times New Roman" w:hAnsi="Times New Roman" w:cs="Times New Roman"/>
          <w:color w:val="0D0D0D" w:themeColor="text1" w:themeTint="F2"/>
          <w:sz w:val="24"/>
          <w:szCs w:val="24"/>
          <w:vertAlign w:val="subscript"/>
        </w:rPr>
        <w:t>1c</w:t>
      </w:r>
      <w:r w:rsidR="00093A20" w:rsidRPr="00842FE5">
        <w:rPr>
          <w:rFonts w:ascii="Times New Roman" w:hAnsi="Times New Roman" w:cs="Times New Roman"/>
          <w:color w:val="0D0D0D" w:themeColor="text1" w:themeTint="F2"/>
          <w:sz w:val="24"/>
          <w:szCs w:val="24"/>
        </w:rPr>
        <w:t xml:space="preserve"> in </w:t>
      </w:r>
      <w:r w:rsidR="003E7AB4" w:rsidRPr="00842FE5">
        <w:rPr>
          <w:rFonts w:ascii="Times New Roman" w:hAnsi="Times New Roman" w:cs="Times New Roman"/>
          <w:color w:val="0D0D0D" w:themeColor="text1" w:themeTint="F2"/>
          <w:sz w:val="24"/>
          <w:szCs w:val="24"/>
        </w:rPr>
        <w:t xml:space="preserve">the </w:t>
      </w:r>
      <w:r w:rsidR="00093A20" w:rsidRPr="00842FE5">
        <w:rPr>
          <w:rFonts w:ascii="Times New Roman" w:hAnsi="Times New Roman" w:cs="Times New Roman"/>
          <w:color w:val="0D0D0D" w:themeColor="text1" w:themeTint="F2"/>
          <w:sz w:val="24"/>
          <w:szCs w:val="24"/>
        </w:rPr>
        <w:t xml:space="preserve">EDITION </w:t>
      </w:r>
      <w:r w:rsidR="0034052D" w:rsidRPr="00842FE5">
        <w:rPr>
          <w:rFonts w:ascii="Times New Roman" w:hAnsi="Times New Roman" w:cs="Times New Roman"/>
          <w:color w:val="0D0D0D" w:themeColor="text1" w:themeTint="F2"/>
          <w:sz w:val="24"/>
          <w:szCs w:val="24"/>
        </w:rPr>
        <w:t xml:space="preserve">2 </w:t>
      </w:r>
      <w:r w:rsidR="00291D27" w:rsidRPr="00842FE5">
        <w:rPr>
          <w:rFonts w:ascii="Times New Roman" w:hAnsi="Times New Roman" w:cs="Times New Roman"/>
          <w:color w:val="0D0D0D" w:themeColor="text1" w:themeTint="F2"/>
          <w:sz w:val="24"/>
          <w:szCs w:val="24"/>
        </w:rPr>
        <w:t xml:space="preserve">study </w:t>
      </w:r>
      <w:r w:rsidR="00093A20" w:rsidRPr="00842FE5">
        <w:rPr>
          <w:rFonts w:ascii="Times New Roman" w:hAnsi="Times New Roman" w:cs="Times New Roman"/>
          <w:color w:val="0D0D0D" w:themeColor="text1" w:themeTint="F2"/>
          <w:sz w:val="24"/>
          <w:szCs w:val="24"/>
        </w:rPr>
        <w:t xml:space="preserve">and the </w:t>
      </w:r>
      <w:r w:rsidR="009F5A2D" w:rsidRPr="00842FE5">
        <w:rPr>
          <w:rFonts w:ascii="Times New Roman" w:hAnsi="Times New Roman" w:cs="Times New Roman"/>
          <w:color w:val="0D0D0D" w:themeColor="text1" w:themeTint="F2"/>
          <w:sz w:val="24"/>
          <w:szCs w:val="24"/>
        </w:rPr>
        <w:t xml:space="preserve">lack of or </w:t>
      </w:r>
      <w:r w:rsidR="00093A20" w:rsidRPr="00842FE5">
        <w:rPr>
          <w:rFonts w:ascii="Times New Roman" w:hAnsi="Times New Roman" w:cs="Times New Roman"/>
          <w:color w:val="0D0D0D" w:themeColor="text1" w:themeTint="F2"/>
          <w:sz w:val="24"/>
          <w:szCs w:val="24"/>
        </w:rPr>
        <w:t xml:space="preserve">less stringent BI titration </w:t>
      </w:r>
      <w:r w:rsidR="00BA08BB" w:rsidRPr="00842FE5">
        <w:rPr>
          <w:rFonts w:ascii="Times New Roman" w:hAnsi="Times New Roman" w:cs="Times New Roman"/>
          <w:color w:val="0D0D0D" w:themeColor="text1" w:themeTint="F2"/>
          <w:sz w:val="24"/>
          <w:szCs w:val="24"/>
        </w:rPr>
        <w:t xml:space="preserve">in </w:t>
      </w:r>
      <w:r w:rsidR="003E7AB4" w:rsidRPr="00842FE5">
        <w:rPr>
          <w:rFonts w:ascii="Times New Roman" w:hAnsi="Times New Roman" w:cs="Times New Roman"/>
          <w:color w:val="0D0D0D" w:themeColor="text1" w:themeTint="F2"/>
          <w:sz w:val="24"/>
          <w:szCs w:val="24"/>
        </w:rPr>
        <w:t xml:space="preserve">the </w:t>
      </w:r>
      <w:r w:rsidR="009F5A2D" w:rsidRPr="00842FE5">
        <w:rPr>
          <w:rFonts w:ascii="Times New Roman" w:hAnsi="Times New Roman" w:cs="Times New Roman"/>
          <w:color w:val="0D0D0D" w:themeColor="text1" w:themeTint="F2"/>
          <w:sz w:val="24"/>
          <w:szCs w:val="24"/>
        </w:rPr>
        <w:t>TRANSITION</w:t>
      </w:r>
      <w:r w:rsidR="00BA08BB" w:rsidRPr="00842FE5">
        <w:rPr>
          <w:rFonts w:ascii="Times New Roman" w:hAnsi="Times New Roman" w:cs="Times New Roman"/>
          <w:color w:val="0D0D0D" w:themeColor="text1" w:themeTint="F2"/>
          <w:sz w:val="24"/>
          <w:szCs w:val="24"/>
        </w:rPr>
        <w:t xml:space="preserve"> 2 and DELIVER 2</w:t>
      </w:r>
      <w:r w:rsidR="009F5A2D" w:rsidRPr="00842FE5">
        <w:rPr>
          <w:rFonts w:ascii="Times New Roman" w:hAnsi="Times New Roman" w:cs="Times New Roman"/>
          <w:color w:val="0D0D0D" w:themeColor="text1" w:themeTint="F2"/>
          <w:sz w:val="24"/>
          <w:szCs w:val="24"/>
        </w:rPr>
        <w:t xml:space="preserve"> studies</w:t>
      </w:r>
      <w:r w:rsidR="003D1974" w:rsidRPr="00842FE5">
        <w:rPr>
          <w:rFonts w:ascii="Times New Roman" w:hAnsi="Times New Roman" w:cs="Times New Roman"/>
          <w:color w:val="0D0D0D" w:themeColor="text1" w:themeTint="F2"/>
          <w:sz w:val="24"/>
          <w:szCs w:val="24"/>
        </w:rPr>
        <w:t xml:space="preserve">, the </w:t>
      </w:r>
      <w:r w:rsidR="00A50267" w:rsidRPr="00842FE5">
        <w:rPr>
          <w:rFonts w:ascii="Times New Roman" w:hAnsi="Times New Roman" w:cs="Times New Roman"/>
          <w:color w:val="0D0D0D" w:themeColor="text1" w:themeTint="F2"/>
          <w:sz w:val="24"/>
          <w:szCs w:val="24"/>
        </w:rPr>
        <w:t xml:space="preserve">results suggest that glycaemic control remains poor in </w:t>
      </w:r>
      <w:r w:rsidR="00886126" w:rsidRPr="00842FE5">
        <w:rPr>
          <w:rFonts w:ascii="Times New Roman" w:hAnsi="Times New Roman" w:cs="Times New Roman"/>
          <w:color w:val="0D0D0D" w:themeColor="text1" w:themeTint="F2"/>
          <w:sz w:val="24"/>
          <w:szCs w:val="24"/>
        </w:rPr>
        <w:t xml:space="preserve">majority of </w:t>
      </w:r>
      <w:r w:rsidR="008C4ABC" w:rsidRPr="00842FE5">
        <w:rPr>
          <w:rFonts w:ascii="Times New Roman" w:hAnsi="Times New Roman" w:cs="Times New Roman"/>
          <w:color w:val="0D0D0D" w:themeColor="text1" w:themeTint="F2"/>
          <w:sz w:val="24"/>
          <w:szCs w:val="24"/>
        </w:rPr>
        <w:t>insulin</w:t>
      </w:r>
      <w:r w:rsidR="004B7904">
        <w:rPr>
          <w:rFonts w:ascii="Times New Roman" w:hAnsi="Times New Roman" w:cs="Times New Roman"/>
          <w:color w:val="0D0D0D" w:themeColor="text1" w:themeTint="F2"/>
          <w:sz w:val="24"/>
          <w:szCs w:val="24"/>
        </w:rPr>
        <w:t>-</w:t>
      </w:r>
      <w:r w:rsidR="008C4ABC" w:rsidRPr="00842FE5">
        <w:rPr>
          <w:rFonts w:ascii="Times New Roman" w:hAnsi="Times New Roman" w:cs="Times New Roman"/>
          <w:color w:val="0D0D0D" w:themeColor="text1" w:themeTint="F2"/>
          <w:sz w:val="24"/>
          <w:szCs w:val="24"/>
        </w:rPr>
        <w:t xml:space="preserve"> treated </w:t>
      </w:r>
      <w:r w:rsidR="00886126" w:rsidRPr="00842FE5">
        <w:rPr>
          <w:rFonts w:ascii="Times New Roman" w:hAnsi="Times New Roman" w:cs="Times New Roman"/>
          <w:color w:val="0D0D0D" w:themeColor="text1" w:themeTint="F2"/>
          <w:sz w:val="24"/>
          <w:szCs w:val="24"/>
        </w:rPr>
        <w:t>people with T2D</w:t>
      </w:r>
      <w:r w:rsidR="00F238D3" w:rsidRPr="00842FE5">
        <w:rPr>
          <w:rFonts w:ascii="Times New Roman" w:hAnsi="Times New Roman" w:cs="Times New Roman"/>
          <w:color w:val="0D0D0D" w:themeColor="text1" w:themeTint="F2"/>
          <w:sz w:val="24"/>
          <w:szCs w:val="24"/>
        </w:rPr>
        <w:t>M</w:t>
      </w:r>
      <w:r w:rsidR="0054736B" w:rsidRPr="00842FE5">
        <w:rPr>
          <w:rFonts w:ascii="Times New Roman" w:hAnsi="Times New Roman" w:cs="Times New Roman"/>
          <w:color w:val="0D0D0D" w:themeColor="text1" w:themeTint="F2"/>
          <w:sz w:val="24"/>
          <w:szCs w:val="24"/>
        </w:rPr>
        <w:t xml:space="preserve"> [19–21]</w:t>
      </w:r>
      <w:r w:rsidR="00180535" w:rsidRPr="00842FE5">
        <w:rPr>
          <w:rFonts w:ascii="Times New Roman" w:hAnsi="Times New Roman" w:cs="Times New Roman"/>
          <w:color w:val="0D0D0D" w:themeColor="text1" w:themeTint="F2"/>
          <w:sz w:val="24"/>
          <w:szCs w:val="24"/>
        </w:rPr>
        <w:t>.</w:t>
      </w:r>
      <w:r w:rsidR="00B36E9B" w:rsidRPr="00842FE5">
        <w:rPr>
          <w:rFonts w:ascii="Times New Roman" w:hAnsi="Times New Roman" w:cs="Times New Roman"/>
          <w:color w:val="0D0D0D" w:themeColor="text1" w:themeTint="F2"/>
          <w:sz w:val="24"/>
          <w:szCs w:val="24"/>
        </w:rPr>
        <w:t xml:space="preserve"> </w:t>
      </w:r>
      <w:r w:rsidR="00E868C9" w:rsidRPr="00842FE5">
        <w:rPr>
          <w:rFonts w:ascii="Times New Roman" w:hAnsi="Times New Roman" w:cs="Times New Roman"/>
          <w:color w:val="0D0D0D" w:themeColor="text1" w:themeTint="F2"/>
          <w:sz w:val="24"/>
          <w:szCs w:val="24"/>
        </w:rPr>
        <w:t>I</w:t>
      </w:r>
      <w:r w:rsidR="00B62085" w:rsidRPr="00842FE5">
        <w:rPr>
          <w:rFonts w:ascii="Times New Roman" w:hAnsi="Times New Roman" w:cs="Times New Roman"/>
          <w:color w:val="0D0D0D" w:themeColor="text1" w:themeTint="F2"/>
          <w:sz w:val="24"/>
          <w:szCs w:val="24"/>
        </w:rPr>
        <w:t xml:space="preserve">n the present study </w:t>
      </w:r>
      <w:r w:rsidR="00B93E92" w:rsidRPr="00842FE5">
        <w:rPr>
          <w:rFonts w:ascii="Times New Roman" w:hAnsi="Times New Roman" w:cs="Times New Roman"/>
          <w:color w:val="0D0D0D" w:themeColor="text1" w:themeTint="F2"/>
          <w:sz w:val="24"/>
          <w:szCs w:val="24"/>
        </w:rPr>
        <w:t xml:space="preserve">the mean duration of previous BI therapy was </w:t>
      </w:r>
      <w:r w:rsidR="00CA6527" w:rsidRPr="00842FE5">
        <w:rPr>
          <w:rFonts w:ascii="Times New Roman" w:hAnsi="Times New Roman" w:cs="Times New Roman"/>
          <w:color w:val="0D0D0D" w:themeColor="text1" w:themeTint="F2"/>
          <w:sz w:val="24"/>
          <w:szCs w:val="24"/>
        </w:rPr>
        <w:t xml:space="preserve">only </w:t>
      </w:r>
      <w:r w:rsidR="00B62085" w:rsidRPr="00842FE5">
        <w:rPr>
          <w:rFonts w:ascii="Times New Roman" w:hAnsi="Times New Roman" w:cs="Times New Roman"/>
          <w:color w:val="0D0D0D" w:themeColor="text1" w:themeTint="F2"/>
          <w:sz w:val="24"/>
          <w:szCs w:val="24"/>
        </w:rPr>
        <w:t xml:space="preserve">2.86 years despite </w:t>
      </w:r>
      <w:r w:rsidR="00BE4300" w:rsidRPr="00842FE5">
        <w:rPr>
          <w:rFonts w:ascii="Times New Roman" w:hAnsi="Times New Roman" w:cs="Times New Roman"/>
          <w:color w:val="0D0D0D" w:themeColor="text1" w:themeTint="F2"/>
          <w:sz w:val="24"/>
          <w:szCs w:val="24"/>
        </w:rPr>
        <w:t xml:space="preserve">the </w:t>
      </w:r>
      <w:r w:rsidR="00B62085" w:rsidRPr="00842FE5">
        <w:rPr>
          <w:rFonts w:ascii="Times New Roman" w:hAnsi="Times New Roman" w:cs="Times New Roman"/>
          <w:color w:val="0D0D0D" w:themeColor="text1" w:themeTint="F2"/>
          <w:sz w:val="24"/>
          <w:szCs w:val="24"/>
        </w:rPr>
        <w:t xml:space="preserve">long </w:t>
      </w:r>
      <w:r w:rsidR="00BE4300" w:rsidRPr="00842FE5">
        <w:rPr>
          <w:rFonts w:ascii="Times New Roman" w:hAnsi="Times New Roman" w:cs="Times New Roman"/>
          <w:color w:val="0D0D0D" w:themeColor="text1" w:themeTint="F2"/>
          <w:sz w:val="24"/>
          <w:szCs w:val="24"/>
        </w:rPr>
        <w:t xml:space="preserve">duration of diabetes </w:t>
      </w:r>
      <w:r w:rsidR="00B62085" w:rsidRPr="00842FE5">
        <w:rPr>
          <w:rFonts w:ascii="Times New Roman" w:hAnsi="Times New Roman" w:cs="Times New Roman"/>
          <w:color w:val="0D0D0D" w:themeColor="text1" w:themeTint="F2"/>
          <w:sz w:val="24"/>
          <w:szCs w:val="24"/>
        </w:rPr>
        <w:t>(&gt;</w:t>
      </w:r>
      <w:r w:rsidR="003C59D2" w:rsidRPr="00842FE5">
        <w:rPr>
          <w:rFonts w:ascii="Times New Roman" w:hAnsi="Times New Roman" w:cs="Times New Roman"/>
          <w:color w:val="0D0D0D" w:themeColor="text1" w:themeTint="F2"/>
          <w:sz w:val="24"/>
          <w:szCs w:val="24"/>
        </w:rPr>
        <w:t>12 years</w:t>
      </w:r>
      <w:r w:rsidR="00B62085" w:rsidRPr="00842FE5">
        <w:rPr>
          <w:rFonts w:ascii="Times New Roman" w:hAnsi="Times New Roman" w:cs="Times New Roman"/>
          <w:color w:val="0D0D0D" w:themeColor="text1" w:themeTint="F2"/>
          <w:sz w:val="24"/>
          <w:szCs w:val="24"/>
        </w:rPr>
        <w:t>)</w:t>
      </w:r>
      <w:r w:rsidR="003C59D2" w:rsidRPr="00842FE5">
        <w:rPr>
          <w:rFonts w:ascii="Times New Roman" w:hAnsi="Times New Roman" w:cs="Times New Roman"/>
          <w:color w:val="0D0D0D" w:themeColor="text1" w:themeTint="F2"/>
          <w:sz w:val="24"/>
          <w:szCs w:val="24"/>
        </w:rPr>
        <w:t>,</w:t>
      </w:r>
      <w:r w:rsidR="00B62085" w:rsidRPr="00842FE5">
        <w:rPr>
          <w:rFonts w:ascii="Times New Roman" w:hAnsi="Times New Roman" w:cs="Times New Roman"/>
          <w:color w:val="0D0D0D" w:themeColor="text1" w:themeTint="F2"/>
          <w:sz w:val="24"/>
          <w:szCs w:val="24"/>
        </w:rPr>
        <w:t xml:space="preserve"> </w:t>
      </w:r>
      <w:r w:rsidR="00571B3F" w:rsidRPr="00842FE5">
        <w:rPr>
          <w:rFonts w:ascii="Times New Roman" w:hAnsi="Times New Roman" w:cs="Times New Roman"/>
          <w:color w:val="0D0D0D" w:themeColor="text1" w:themeTint="F2"/>
          <w:sz w:val="24"/>
          <w:szCs w:val="24"/>
        </w:rPr>
        <w:t xml:space="preserve">indicating delayed </w:t>
      </w:r>
      <w:r w:rsidR="00F21F05" w:rsidRPr="00842FE5">
        <w:rPr>
          <w:rFonts w:ascii="Times New Roman" w:hAnsi="Times New Roman" w:cs="Times New Roman"/>
          <w:color w:val="0D0D0D" w:themeColor="text1" w:themeTint="F2"/>
          <w:sz w:val="24"/>
          <w:szCs w:val="24"/>
        </w:rPr>
        <w:t>treatment</w:t>
      </w:r>
      <w:r w:rsidR="003C6BFC" w:rsidRPr="00842FE5">
        <w:rPr>
          <w:rFonts w:ascii="Times New Roman" w:hAnsi="Times New Roman" w:cs="Times New Roman"/>
          <w:color w:val="0D0D0D" w:themeColor="text1" w:themeTint="F2"/>
          <w:sz w:val="24"/>
          <w:szCs w:val="24"/>
        </w:rPr>
        <w:t xml:space="preserve"> </w:t>
      </w:r>
      <w:r w:rsidR="00F21F05" w:rsidRPr="00842FE5">
        <w:rPr>
          <w:rFonts w:ascii="Times New Roman" w:hAnsi="Times New Roman" w:cs="Times New Roman"/>
          <w:color w:val="0D0D0D" w:themeColor="text1" w:themeTint="F2"/>
          <w:sz w:val="24"/>
          <w:szCs w:val="24"/>
        </w:rPr>
        <w:t>intensification.</w:t>
      </w:r>
      <w:r w:rsidR="003C59D2" w:rsidRPr="00842FE5">
        <w:rPr>
          <w:rFonts w:ascii="Times New Roman" w:hAnsi="Times New Roman" w:cs="Times New Roman"/>
          <w:color w:val="0D0D0D" w:themeColor="text1" w:themeTint="F2"/>
          <w:sz w:val="24"/>
          <w:szCs w:val="24"/>
        </w:rPr>
        <w:t xml:space="preserve"> </w:t>
      </w:r>
      <w:r w:rsidR="00542895" w:rsidRPr="00842FE5">
        <w:rPr>
          <w:rFonts w:ascii="Times New Roman" w:hAnsi="Times New Roman" w:cs="Times New Roman"/>
          <w:color w:val="0D0D0D" w:themeColor="text1" w:themeTint="F2"/>
          <w:sz w:val="24"/>
          <w:szCs w:val="24"/>
        </w:rPr>
        <w:t xml:space="preserve">Taking </w:t>
      </w:r>
      <w:r w:rsidR="00E7701C" w:rsidRPr="00842FE5">
        <w:rPr>
          <w:rFonts w:ascii="Times New Roman" w:hAnsi="Times New Roman" w:cs="Times New Roman"/>
          <w:color w:val="0D0D0D" w:themeColor="text1" w:themeTint="F2"/>
          <w:sz w:val="24"/>
          <w:szCs w:val="24"/>
        </w:rPr>
        <w:t xml:space="preserve">into consideration </w:t>
      </w:r>
      <w:r w:rsidR="00542895" w:rsidRPr="00842FE5">
        <w:rPr>
          <w:rFonts w:ascii="Times New Roman" w:hAnsi="Times New Roman" w:cs="Times New Roman"/>
          <w:color w:val="0D0D0D" w:themeColor="text1" w:themeTint="F2"/>
          <w:sz w:val="24"/>
          <w:szCs w:val="24"/>
        </w:rPr>
        <w:t xml:space="preserve">the </w:t>
      </w:r>
      <w:r w:rsidR="00E7701C" w:rsidRPr="00842FE5">
        <w:rPr>
          <w:rFonts w:ascii="Times New Roman" w:hAnsi="Times New Roman" w:cs="Times New Roman"/>
          <w:color w:val="0D0D0D" w:themeColor="text1" w:themeTint="F2"/>
          <w:sz w:val="24"/>
          <w:szCs w:val="24"/>
        </w:rPr>
        <w:t xml:space="preserve">progressive nature </w:t>
      </w:r>
      <w:r w:rsidR="00DB2CBC" w:rsidRPr="00842FE5">
        <w:rPr>
          <w:rFonts w:ascii="Times New Roman" w:hAnsi="Times New Roman" w:cs="Times New Roman"/>
          <w:color w:val="0D0D0D" w:themeColor="text1" w:themeTint="F2"/>
          <w:sz w:val="24"/>
          <w:szCs w:val="24"/>
        </w:rPr>
        <w:t>of the</w:t>
      </w:r>
      <w:r w:rsidR="00BB22A9" w:rsidRPr="00842FE5">
        <w:rPr>
          <w:rFonts w:ascii="Times New Roman" w:hAnsi="Times New Roman" w:cs="Times New Roman"/>
          <w:color w:val="0D0D0D" w:themeColor="text1" w:themeTint="F2"/>
          <w:sz w:val="24"/>
          <w:szCs w:val="24"/>
        </w:rPr>
        <w:t xml:space="preserve"> disease</w:t>
      </w:r>
      <w:r w:rsidR="00E7701C" w:rsidRPr="00842FE5">
        <w:rPr>
          <w:rFonts w:ascii="Times New Roman" w:hAnsi="Times New Roman" w:cs="Times New Roman"/>
          <w:color w:val="0D0D0D" w:themeColor="text1" w:themeTint="F2"/>
          <w:sz w:val="24"/>
          <w:szCs w:val="24"/>
        </w:rPr>
        <w:t>,</w:t>
      </w:r>
      <w:r w:rsidR="00BB22A9" w:rsidRPr="00842FE5">
        <w:rPr>
          <w:rFonts w:ascii="Times New Roman" w:hAnsi="Times New Roman" w:cs="Times New Roman"/>
          <w:color w:val="0D0D0D" w:themeColor="text1" w:themeTint="F2"/>
          <w:sz w:val="24"/>
          <w:szCs w:val="24"/>
        </w:rPr>
        <w:t xml:space="preserve"> </w:t>
      </w:r>
      <w:r w:rsidR="00E7701C" w:rsidRPr="00842FE5">
        <w:rPr>
          <w:rFonts w:ascii="Times New Roman" w:hAnsi="Times New Roman" w:cs="Times New Roman"/>
          <w:color w:val="0D0D0D" w:themeColor="text1" w:themeTint="F2"/>
          <w:sz w:val="24"/>
          <w:szCs w:val="24"/>
        </w:rPr>
        <w:t>most people with T2D</w:t>
      </w:r>
      <w:r w:rsidR="00F238D3" w:rsidRPr="00842FE5">
        <w:rPr>
          <w:rFonts w:ascii="Times New Roman" w:hAnsi="Times New Roman" w:cs="Times New Roman"/>
          <w:color w:val="0D0D0D" w:themeColor="text1" w:themeTint="F2"/>
          <w:sz w:val="24"/>
          <w:szCs w:val="24"/>
        </w:rPr>
        <w:t>M</w:t>
      </w:r>
      <w:r w:rsidR="00E7701C" w:rsidRPr="00842FE5">
        <w:rPr>
          <w:rFonts w:ascii="Times New Roman" w:hAnsi="Times New Roman" w:cs="Times New Roman"/>
          <w:color w:val="0D0D0D" w:themeColor="text1" w:themeTint="F2"/>
          <w:sz w:val="24"/>
          <w:szCs w:val="24"/>
        </w:rPr>
        <w:t xml:space="preserve"> </w:t>
      </w:r>
      <w:r w:rsidR="00BB22A9" w:rsidRPr="00842FE5">
        <w:rPr>
          <w:rFonts w:ascii="Times New Roman" w:hAnsi="Times New Roman" w:cs="Times New Roman"/>
          <w:color w:val="0D0D0D" w:themeColor="text1" w:themeTint="F2"/>
          <w:sz w:val="24"/>
          <w:szCs w:val="24"/>
        </w:rPr>
        <w:t>require treatment intensification</w:t>
      </w:r>
      <w:r w:rsidR="00136B58" w:rsidRPr="00842FE5">
        <w:rPr>
          <w:rFonts w:ascii="Times New Roman" w:hAnsi="Times New Roman" w:cs="Times New Roman"/>
          <w:color w:val="0D0D0D" w:themeColor="text1" w:themeTint="F2"/>
          <w:sz w:val="24"/>
          <w:szCs w:val="24"/>
        </w:rPr>
        <w:t xml:space="preserve"> (either</w:t>
      </w:r>
      <w:r w:rsidR="0054736B" w:rsidRPr="00842FE5">
        <w:rPr>
          <w:rFonts w:ascii="Times New Roman" w:hAnsi="Times New Roman" w:cs="Times New Roman"/>
          <w:color w:val="0D0D0D" w:themeColor="text1" w:themeTint="F2"/>
          <w:sz w:val="24"/>
          <w:szCs w:val="24"/>
        </w:rPr>
        <w:t xml:space="preserve"> by</w:t>
      </w:r>
      <w:r w:rsidR="00136B58" w:rsidRPr="00842FE5">
        <w:rPr>
          <w:rFonts w:ascii="Times New Roman" w:hAnsi="Times New Roman" w:cs="Times New Roman"/>
          <w:color w:val="0D0D0D" w:themeColor="text1" w:themeTint="F2"/>
          <w:sz w:val="24"/>
          <w:szCs w:val="24"/>
        </w:rPr>
        <w:t xml:space="preserve"> increasing the dose of their current medi</w:t>
      </w:r>
      <w:r w:rsidR="006F62AB" w:rsidRPr="00842FE5">
        <w:rPr>
          <w:rFonts w:ascii="Times New Roman" w:hAnsi="Times New Roman" w:cs="Times New Roman"/>
          <w:color w:val="0D0D0D" w:themeColor="text1" w:themeTint="F2"/>
          <w:sz w:val="24"/>
          <w:szCs w:val="24"/>
        </w:rPr>
        <w:t>cation or addition of a new drug)</w:t>
      </w:r>
      <w:r w:rsidR="00DB2CBC" w:rsidRPr="00842FE5">
        <w:rPr>
          <w:rFonts w:ascii="Times New Roman" w:hAnsi="Times New Roman" w:cs="Times New Roman"/>
          <w:color w:val="0D0D0D" w:themeColor="text1" w:themeTint="F2"/>
          <w:sz w:val="24"/>
          <w:szCs w:val="24"/>
        </w:rPr>
        <w:t xml:space="preserve"> </w:t>
      </w:r>
      <w:r w:rsidR="00D00698" w:rsidRPr="00842FE5">
        <w:rPr>
          <w:rFonts w:ascii="Times New Roman" w:hAnsi="Times New Roman" w:cs="Times New Roman"/>
          <w:color w:val="0D0D0D" w:themeColor="text1" w:themeTint="F2"/>
          <w:sz w:val="24"/>
          <w:szCs w:val="24"/>
        </w:rPr>
        <w:t>to improve their glycaemic control.</w:t>
      </w:r>
    </w:p>
    <w:p w14:paraId="689D5A05" w14:textId="58DE62E8" w:rsidR="00794257" w:rsidRPr="00842FE5" w:rsidRDefault="003A1BED" w:rsidP="00794257">
      <w:pPr>
        <w:tabs>
          <w:tab w:val="left" w:pos="709"/>
        </w:tabs>
        <w:spacing w:line="480" w:lineRule="auto"/>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 xml:space="preserve">In the present study, Gla-300 dose </w:t>
      </w:r>
      <w:r w:rsidR="0054736B" w:rsidRPr="00842FE5">
        <w:rPr>
          <w:rFonts w:ascii="Times New Roman" w:hAnsi="Times New Roman" w:cs="Times New Roman"/>
          <w:color w:val="0D0D0D" w:themeColor="text1" w:themeTint="F2"/>
          <w:sz w:val="24"/>
          <w:szCs w:val="24"/>
        </w:rPr>
        <w:t xml:space="preserve">was </w:t>
      </w:r>
      <w:r w:rsidRPr="00842FE5">
        <w:rPr>
          <w:rFonts w:ascii="Times New Roman" w:hAnsi="Times New Roman" w:cs="Times New Roman"/>
          <w:color w:val="0D0D0D" w:themeColor="text1" w:themeTint="F2"/>
          <w:sz w:val="24"/>
          <w:szCs w:val="24"/>
        </w:rPr>
        <w:t xml:space="preserve">increased </w:t>
      </w:r>
      <w:r w:rsidR="00AF4299" w:rsidRPr="00842FE5">
        <w:rPr>
          <w:rFonts w:ascii="Times New Roman" w:hAnsi="Times New Roman" w:cs="Times New Roman"/>
          <w:color w:val="0D0D0D" w:themeColor="text1" w:themeTint="F2"/>
          <w:sz w:val="24"/>
          <w:szCs w:val="24"/>
        </w:rPr>
        <w:t xml:space="preserve">by 11.3 </w:t>
      </w:r>
      <w:r w:rsidR="008747DF" w:rsidRPr="00842FE5">
        <w:rPr>
          <w:rFonts w:ascii="Times New Roman" w:hAnsi="Times New Roman" w:cs="Times New Roman"/>
          <w:color w:val="0D0D0D" w:themeColor="text1" w:themeTint="F2"/>
          <w:sz w:val="24"/>
          <w:szCs w:val="24"/>
        </w:rPr>
        <w:t>U</w:t>
      </w:r>
      <w:r w:rsidR="00AF4299" w:rsidRPr="00842FE5">
        <w:rPr>
          <w:rFonts w:ascii="Times New Roman" w:hAnsi="Times New Roman" w:cs="Times New Roman"/>
          <w:color w:val="0D0D0D" w:themeColor="text1" w:themeTint="F2"/>
          <w:sz w:val="24"/>
          <w:szCs w:val="24"/>
        </w:rPr>
        <w:t xml:space="preserve"> and </w:t>
      </w:r>
      <w:r w:rsidRPr="00842FE5">
        <w:rPr>
          <w:rFonts w:ascii="Times New Roman" w:hAnsi="Times New Roman" w:cs="Times New Roman"/>
          <w:color w:val="0D0D0D" w:themeColor="text1" w:themeTint="F2"/>
          <w:sz w:val="24"/>
          <w:szCs w:val="24"/>
        </w:rPr>
        <w:t xml:space="preserve">from </w:t>
      </w:r>
      <w:r w:rsidR="004B2986" w:rsidRPr="00842FE5">
        <w:rPr>
          <w:rFonts w:ascii="Times New Roman" w:hAnsi="Times New Roman" w:cs="Times New Roman"/>
          <w:color w:val="0D0D0D" w:themeColor="text1" w:themeTint="F2"/>
          <w:sz w:val="24"/>
          <w:szCs w:val="24"/>
        </w:rPr>
        <w:t xml:space="preserve">0.35 </w:t>
      </w:r>
      <w:r w:rsidR="001321C3" w:rsidRPr="00842FE5">
        <w:rPr>
          <w:rFonts w:ascii="Times New Roman" w:hAnsi="Times New Roman" w:cs="Times New Roman"/>
          <w:color w:val="0D0D0D" w:themeColor="text1" w:themeTint="F2"/>
          <w:sz w:val="24"/>
          <w:szCs w:val="24"/>
        </w:rPr>
        <w:t xml:space="preserve">U/kg </w:t>
      </w:r>
      <w:r w:rsidR="004B2986" w:rsidRPr="00842FE5">
        <w:rPr>
          <w:rFonts w:ascii="Times New Roman" w:hAnsi="Times New Roman" w:cs="Times New Roman"/>
          <w:color w:val="0D0D0D" w:themeColor="text1" w:themeTint="F2"/>
          <w:sz w:val="24"/>
          <w:szCs w:val="24"/>
        </w:rPr>
        <w:t>at baseline to 0.5</w:t>
      </w:r>
      <w:r w:rsidR="00481018" w:rsidRPr="00842FE5">
        <w:rPr>
          <w:rFonts w:ascii="Times New Roman" w:hAnsi="Times New Roman" w:cs="Times New Roman"/>
          <w:color w:val="0D0D0D" w:themeColor="text1" w:themeTint="F2"/>
          <w:sz w:val="24"/>
          <w:szCs w:val="24"/>
        </w:rPr>
        <w:t xml:space="preserve"> </w:t>
      </w:r>
      <w:r w:rsidR="004B2986" w:rsidRPr="00842FE5">
        <w:rPr>
          <w:rFonts w:ascii="Times New Roman" w:hAnsi="Times New Roman" w:cs="Times New Roman"/>
          <w:color w:val="0D0D0D" w:themeColor="text1" w:themeTint="F2"/>
          <w:sz w:val="24"/>
          <w:szCs w:val="24"/>
        </w:rPr>
        <w:t xml:space="preserve">U/kg at Week 26. </w:t>
      </w:r>
      <w:r w:rsidR="00EF783A" w:rsidRPr="00842FE5">
        <w:rPr>
          <w:rFonts w:ascii="Times New Roman" w:hAnsi="Times New Roman" w:cs="Times New Roman"/>
          <w:color w:val="0D0D0D" w:themeColor="text1" w:themeTint="F2"/>
          <w:sz w:val="24"/>
          <w:szCs w:val="24"/>
        </w:rPr>
        <w:t>This showed that when guided by a titration algorithm, people with T2D</w:t>
      </w:r>
      <w:r w:rsidR="00F238D3" w:rsidRPr="00842FE5">
        <w:rPr>
          <w:rFonts w:ascii="Times New Roman" w:hAnsi="Times New Roman" w:cs="Times New Roman"/>
          <w:color w:val="0D0D0D" w:themeColor="text1" w:themeTint="F2"/>
          <w:sz w:val="24"/>
          <w:szCs w:val="24"/>
        </w:rPr>
        <w:t>M</w:t>
      </w:r>
      <w:r w:rsidR="00EF783A" w:rsidRPr="00842FE5">
        <w:rPr>
          <w:rFonts w:ascii="Times New Roman" w:hAnsi="Times New Roman" w:cs="Times New Roman"/>
          <w:color w:val="0D0D0D" w:themeColor="text1" w:themeTint="F2"/>
          <w:sz w:val="24"/>
          <w:szCs w:val="24"/>
        </w:rPr>
        <w:t xml:space="preserve"> in these regions who need to switch to another BI could safely increase their BI dose</w:t>
      </w:r>
      <w:r w:rsidR="007A3C3D">
        <w:rPr>
          <w:rFonts w:ascii="Times New Roman" w:hAnsi="Times New Roman" w:cs="Times New Roman"/>
          <w:color w:val="0D0D0D" w:themeColor="text1" w:themeTint="F2"/>
          <w:sz w:val="24"/>
          <w:szCs w:val="24"/>
        </w:rPr>
        <w:t>.</w:t>
      </w:r>
      <w:r w:rsidR="007A5AB0" w:rsidRPr="00842FE5">
        <w:rPr>
          <w:rFonts w:ascii="Times New Roman" w:hAnsi="Times New Roman" w:cs="Times New Roman"/>
          <w:color w:val="0D0D0D" w:themeColor="text1" w:themeTint="F2"/>
          <w:sz w:val="24"/>
          <w:szCs w:val="24"/>
        </w:rPr>
        <w:t xml:space="preserve"> </w:t>
      </w:r>
      <w:r w:rsidRPr="00842FE5">
        <w:rPr>
          <w:rFonts w:ascii="Times New Roman" w:hAnsi="Times New Roman" w:cs="Times New Roman"/>
          <w:color w:val="0D0D0D" w:themeColor="text1" w:themeTint="F2"/>
          <w:sz w:val="24"/>
          <w:szCs w:val="24"/>
        </w:rPr>
        <w:t xml:space="preserve">In </w:t>
      </w:r>
      <w:r w:rsidR="00AD50DD" w:rsidRPr="00842FE5">
        <w:rPr>
          <w:rFonts w:ascii="Times New Roman" w:hAnsi="Times New Roman" w:cs="Times New Roman"/>
          <w:color w:val="0D0D0D" w:themeColor="text1" w:themeTint="F2"/>
          <w:sz w:val="24"/>
          <w:szCs w:val="24"/>
        </w:rPr>
        <w:t xml:space="preserve">the </w:t>
      </w:r>
      <w:r w:rsidRPr="00842FE5">
        <w:rPr>
          <w:rFonts w:ascii="Times New Roman" w:hAnsi="Times New Roman" w:cs="Times New Roman"/>
          <w:color w:val="0D0D0D" w:themeColor="text1" w:themeTint="F2"/>
          <w:sz w:val="24"/>
          <w:szCs w:val="24"/>
        </w:rPr>
        <w:t>TRANSITION 2 study, the mean BI dose increased from 46.1 U/day from baseline to 57.8 U/day at Week 24</w:t>
      </w:r>
      <w:r w:rsidR="00731941" w:rsidRPr="00842FE5">
        <w:rPr>
          <w:rFonts w:ascii="Times New Roman" w:hAnsi="Times New Roman" w:cs="Times New Roman"/>
          <w:color w:val="0D0D0D" w:themeColor="text1" w:themeTint="F2"/>
          <w:sz w:val="24"/>
          <w:szCs w:val="24"/>
        </w:rPr>
        <w:t xml:space="preserve"> [20]</w:t>
      </w:r>
      <w:r w:rsidRPr="00842FE5">
        <w:rPr>
          <w:rFonts w:ascii="Times New Roman" w:hAnsi="Times New Roman" w:cs="Times New Roman"/>
          <w:color w:val="0D0D0D" w:themeColor="text1" w:themeTint="F2"/>
          <w:sz w:val="24"/>
          <w:szCs w:val="24"/>
        </w:rPr>
        <w:t xml:space="preserve">. Also, in </w:t>
      </w:r>
      <w:r w:rsidR="00731941" w:rsidRPr="00842FE5">
        <w:rPr>
          <w:rFonts w:ascii="Times New Roman" w:hAnsi="Times New Roman" w:cs="Times New Roman"/>
          <w:color w:val="0D0D0D" w:themeColor="text1" w:themeTint="F2"/>
          <w:sz w:val="24"/>
          <w:szCs w:val="24"/>
        </w:rPr>
        <w:t xml:space="preserve">the </w:t>
      </w:r>
      <w:r w:rsidRPr="00842FE5">
        <w:rPr>
          <w:rFonts w:ascii="Times New Roman" w:hAnsi="Times New Roman" w:cs="Times New Roman"/>
          <w:color w:val="0D0D0D" w:themeColor="text1" w:themeTint="F2"/>
          <w:sz w:val="24"/>
          <w:szCs w:val="24"/>
        </w:rPr>
        <w:t>EDITION 2 study</w:t>
      </w:r>
      <w:r w:rsidR="00804E3A" w:rsidRPr="00842FE5">
        <w:rPr>
          <w:rFonts w:ascii="Times New Roman" w:hAnsi="Times New Roman" w:cs="Times New Roman"/>
          <w:color w:val="0D0D0D" w:themeColor="text1" w:themeTint="F2"/>
          <w:sz w:val="24"/>
          <w:szCs w:val="24"/>
        </w:rPr>
        <w:t>,</w:t>
      </w:r>
      <w:r w:rsidRPr="00842FE5">
        <w:rPr>
          <w:rFonts w:ascii="Times New Roman" w:hAnsi="Times New Roman" w:cs="Times New Roman"/>
          <w:color w:val="0D0D0D" w:themeColor="text1" w:themeTint="F2"/>
          <w:sz w:val="24"/>
          <w:szCs w:val="24"/>
        </w:rPr>
        <w:t xml:space="preserve"> the Gla-300 </w:t>
      </w:r>
      <w:r w:rsidR="009D24DC" w:rsidRPr="00842FE5">
        <w:rPr>
          <w:rFonts w:ascii="Times New Roman" w:hAnsi="Times New Roman" w:cs="Times New Roman"/>
          <w:color w:val="0D0D0D" w:themeColor="text1" w:themeTint="F2"/>
          <w:sz w:val="24"/>
          <w:szCs w:val="24"/>
        </w:rPr>
        <w:t xml:space="preserve">daily </w:t>
      </w:r>
      <w:r w:rsidRPr="00842FE5">
        <w:rPr>
          <w:rFonts w:ascii="Times New Roman" w:hAnsi="Times New Roman" w:cs="Times New Roman"/>
          <w:color w:val="0D0D0D" w:themeColor="text1" w:themeTint="F2"/>
          <w:sz w:val="24"/>
          <w:szCs w:val="24"/>
        </w:rPr>
        <w:t>dose increased</w:t>
      </w:r>
      <w:r w:rsidR="00DE33BA" w:rsidRPr="00842FE5">
        <w:rPr>
          <w:rFonts w:ascii="Times New Roman" w:hAnsi="Times New Roman" w:cs="Times New Roman"/>
          <w:color w:val="0D0D0D" w:themeColor="text1" w:themeTint="F2"/>
          <w:sz w:val="24"/>
          <w:szCs w:val="24"/>
        </w:rPr>
        <w:t xml:space="preserve"> from 0.64 U/kg at baseline to </w:t>
      </w:r>
      <w:r w:rsidRPr="00842FE5">
        <w:rPr>
          <w:rFonts w:ascii="Times New Roman" w:hAnsi="Times New Roman" w:cs="Times New Roman"/>
          <w:color w:val="0D0D0D" w:themeColor="text1" w:themeTint="F2"/>
          <w:sz w:val="24"/>
          <w:szCs w:val="24"/>
        </w:rPr>
        <w:t>0.9</w:t>
      </w:r>
      <w:r w:rsidR="00DE33BA" w:rsidRPr="00842FE5">
        <w:rPr>
          <w:rFonts w:ascii="Times New Roman" w:hAnsi="Times New Roman" w:cs="Times New Roman"/>
          <w:color w:val="0D0D0D" w:themeColor="text1" w:themeTint="F2"/>
          <w:sz w:val="24"/>
          <w:szCs w:val="24"/>
        </w:rPr>
        <w:t>2</w:t>
      </w:r>
      <w:r w:rsidR="00EC1770" w:rsidRPr="00842FE5">
        <w:rPr>
          <w:rFonts w:ascii="Times New Roman" w:hAnsi="Times New Roman" w:cs="Times New Roman"/>
          <w:color w:val="0D0D0D" w:themeColor="text1" w:themeTint="F2"/>
          <w:sz w:val="24"/>
          <w:szCs w:val="24"/>
        </w:rPr>
        <w:t xml:space="preserve"> </w:t>
      </w:r>
      <w:r w:rsidRPr="00842FE5">
        <w:rPr>
          <w:rFonts w:ascii="Times New Roman" w:hAnsi="Times New Roman" w:cs="Times New Roman"/>
          <w:color w:val="0D0D0D" w:themeColor="text1" w:themeTint="F2"/>
          <w:sz w:val="24"/>
          <w:szCs w:val="24"/>
        </w:rPr>
        <w:t>U/kg</w:t>
      </w:r>
      <w:r w:rsidR="00EC1770" w:rsidRPr="00842FE5">
        <w:rPr>
          <w:rFonts w:ascii="Times New Roman" w:hAnsi="Times New Roman" w:cs="Times New Roman"/>
          <w:color w:val="0D0D0D" w:themeColor="text1" w:themeTint="F2"/>
          <w:sz w:val="24"/>
          <w:szCs w:val="24"/>
        </w:rPr>
        <w:t xml:space="preserve"> by </w:t>
      </w:r>
      <w:r w:rsidR="00E928F3" w:rsidRPr="00842FE5">
        <w:rPr>
          <w:rFonts w:ascii="Times New Roman" w:hAnsi="Times New Roman" w:cs="Times New Roman"/>
          <w:color w:val="0D0D0D" w:themeColor="text1" w:themeTint="F2"/>
          <w:sz w:val="24"/>
          <w:szCs w:val="24"/>
        </w:rPr>
        <w:t xml:space="preserve">the </w:t>
      </w:r>
      <w:r w:rsidR="00EC1770" w:rsidRPr="00842FE5">
        <w:rPr>
          <w:rFonts w:ascii="Times New Roman" w:hAnsi="Times New Roman" w:cs="Times New Roman"/>
          <w:color w:val="0D0D0D" w:themeColor="text1" w:themeTint="F2"/>
          <w:sz w:val="24"/>
          <w:szCs w:val="24"/>
        </w:rPr>
        <w:t>end of 6 months</w:t>
      </w:r>
      <w:r w:rsidR="00D76101" w:rsidRPr="00842FE5">
        <w:rPr>
          <w:rFonts w:ascii="Times New Roman" w:hAnsi="Times New Roman" w:cs="Times New Roman"/>
          <w:color w:val="0D0D0D" w:themeColor="text1" w:themeTint="F2"/>
          <w:sz w:val="24"/>
          <w:szCs w:val="24"/>
        </w:rPr>
        <w:t xml:space="preserve">; </w:t>
      </w:r>
      <w:r w:rsidR="00250B29" w:rsidRPr="00842FE5">
        <w:rPr>
          <w:rFonts w:ascii="Times New Roman" w:hAnsi="Times New Roman" w:cs="Times New Roman"/>
          <w:color w:val="0D0D0D" w:themeColor="text1" w:themeTint="F2"/>
          <w:sz w:val="24"/>
          <w:szCs w:val="24"/>
        </w:rPr>
        <w:t>however,</w:t>
      </w:r>
      <w:r w:rsidR="00D76101" w:rsidRPr="00842FE5">
        <w:rPr>
          <w:rFonts w:ascii="Times New Roman" w:hAnsi="Times New Roman" w:cs="Times New Roman"/>
          <w:color w:val="0D0D0D" w:themeColor="text1" w:themeTint="F2"/>
          <w:sz w:val="24"/>
          <w:szCs w:val="24"/>
        </w:rPr>
        <w:t xml:space="preserve"> it should be noted that </w:t>
      </w:r>
      <w:r w:rsidR="007B3141" w:rsidRPr="00842FE5">
        <w:rPr>
          <w:rFonts w:ascii="Times New Roman" w:hAnsi="Times New Roman" w:cs="Times New Roman"/>
          <w:color w:val="0D0D0D" w:themeColor="text1" w:themeTint="F2"/>
          <w:sz w:val="24"/>
          <w:szCs w:val="24"/>
        </w:rPr>
        <w:t>in EDITION 2</w:t>
      </w:r>
      <w:r w:rsidR="00E928F3" w:rsidRPr="00842FE5">
        <w:rPr>
          <w:rFonts w:ascii="Times New Roman" w:hAnsi="Times New Roman" w:cs="Times New Roman"/>
          <w:color w:val="0D0D0D" w:themeColor="text1" w:themeTint="F2"/>
          <w:sz w:val="24"/>
          <w:szCs w:val="24"/>
        </w:rPr>
        <w:t xml:space="preserve"> study</w:t>
      </w:r>
      <w:r w:rsidR="00B32811" w:rsidRPr="00842FE5">
        <w:rPr>
          <w:rFonts w:ascii="Times New Roman" w:hAnsi="Times New Roman" w:cs="Times New Roman"/>
          <w:color w:val="0D0D0D" w:themeColor="text1" w:themeTint="F2"/>
          <w:sz w:val="24"/>
          <w:szCs w:val="24"/>
        </w:rPr>
        <w:t>,</w:t>
      </w:r>
      <w:r w:rsidR="007B3141" w:rsidRPr="00842FE5">
        <w:rPr>
          <w:rFonts w:ascii="Times New Roman" w:hAnsi="Times New Roman" w:cs="Times New Roman"/>
          <w:color w:val="0D0D0D" w:themeColor="text1" w:themeTint="F2"/>
          <w:sz w:val="24"/>
          <w:szCs w:val="24"/>
        </w:rPr>
        <w:t xml:space="preserve"> the starting insulin dose was high due to the </w:t>
      </w:r>
      <w:r w:rsidR="002D2770" w:rsidRPr="00842FE5">
        <w:rPr>
          <w:rFonts w:ascii="Times New Roman" w:hAnsi="Times New Roman" w:cs="Times New Roman"/>
          <w:color w:val="0D0D0D" w:themeColor="text1" w:themeTint="F2"/>
          <w:sz w:val="24"/>
          <w:szCs w:val="24"/>
        </w:rPr>
        <w:t>inclusion criteria (dose of previous BI required to be 42 U)</w:t>
      </w:r>
      <w:r w:rsidR="00990B03" w:rsidRPr="00842FE5">
        <w:rPr>
          <w:rFonts w:ascii="Times New Roman" w:hAnsi="Times New Roman" w:cs="Times New Roman"/>
          <w:color w:val="0D0D0D" w:themeColor="text1" w:themeTint="F2"/>
          <w:sz w:val="24"/>
          <w:szCs w:val="24"/>
        </w:rPr>
        <w:t xml:space="preserve"> [</w:t>
      </w:r>
      <w:r w:rsidR="00C30737" w:rsidRPr="00842FE5">
        <w:rPr>
          <w:rFonts w:ascii="Times New Roman" w:hAnsi="Times New Roman" w:cs="Times New Roman"/>
          <w:color w:val="0D0D0D" w:themeColor="text1" w:themeTint="F2"/>
          <w:sz w:val="24"/>
          <w:szCs w:val="24"/>
        </w:rPr>
        <w:t>1</w:t>
      </w:r>
      <w:r w:rsidR="009B1FDD" w:rsidRPr="00842FE5">
        <w:rPr>
          <w:rFonts w:ascii="Times New Roman" w:hAnsi="Times New Roman" w:cs="Times New Roman"/>
          <w:color w:val="0D0D0D" w:themeColor="text1" w:themeTint="F2"/>
          <w:sz w:val="24"/>
          <w:szCs w:val="24"/>
        </w:rPr>
        <w:t>9</w:t>
      </w:r>
      <w:r w:rsidR="00990B03" w:rsidRPr="00842FE5">
        <w:rPr>
          <w:rFonts w:ascii="Times New Roman" w:hAnsi="Times New Roman" w:cs="Times New Roman"/>
          <w:color w:val="0D0D0D" w:themeColor="text1" w:themeTint="F2"/>
          <w:sz w:val="24"/>
          <w:szCs w:val="24"/>
        </w:rPr>
        <w:t>].</w:t>
      </w:r>
      <w:r w:rsidRPr="00842FE5">
        <w:rPr>
          <w:rFonts w:ascii="Times New Roman" w:hAnsi="Times New Roman" w:cs="Times New Roman"/>
          <w:color w:val="0D0D0D" w:themeColor="text1" w:themeTint="F2"/>
          <w:sz w:val="24"/>
          <w:szCs w:val="24"/>
        </w:rPr>
        <w:t xml:space="preserve"> </w:t>
      </w:r>
      <w:r w:rsidR="00C30737" w:rsidRPr="00842FE5">
        <w:rPr>
          <w:rFonts w:ascii="Times New Roman" w:hAnsi="Times New Roman" w:cs="Times New Roman"/>
          <w:color w:val="0D0D0D" w:themeColor="text1" w:themeTint="F2"/>
          <w:sz w:val="24"/>
          <w:szCs w:val="24"/>
        </w:rPr>
        <w:t xml:space="preserve">While the starting BI dose and dose change in </w:t>
      </w:r>
      <w:r w:rsidR="00B32811" w:rsidRPr="00842FE5">
        <w:rPr>
          <w:rFonts w:ascii="Times New Roman" w:hAnsi="Times New Roman" w:cs="Times New Roman"/>
          <w:color w:val="0D0D0D" w:themeColor="text1" w:themeTint="F2"/>
          <w:sz w:val="24"/>
          <w:szCs w:val="24"/>
        </w:rPr>
        <w:t xml:space="preserve">the </w:t>
      </w:r>
      <w:r w:rsidR="00C30737" w:rsidRPr="00842FE5">
        <w:rPr>
          <w:rFonts w:ascii="Times New Roman" w:hAnsi="Times New Roman" w:cs="Times New Roman"/>
          <w:color w:val="0D0D0D" w:themeColor="text1" w:themeTint="F2"/>
          <w:sz w:val="24"/>
          <w:szCs w:val="24"/>
        </w:rPr>
        <w:t>ARTEMIS-DM</w:t>
      </w:r>
      <w:r w:rsidR="00B32811" w:rsidRPr="00842FE5">
        <w:rPr>
          <w:rFonts w:ascii="Times New Roman" w:hAnsi="Times New Roman" w:cs="Times New Roman"/>
          <w:color w:val="0D0D0D" w:themeColor="text1" w:themeTint="F2"/>
          <w:sz w:val="24"/>
          <w:szCs w:val="24"/>
        </w:rPr>
        <w:t xml:space="preserve"> study</w:t>
      </w:r>
      <w:r w:rsidR="00C30737" w:rsidRPr="00842FE5">
        <w:rPr>
          <w:rFonts w:ascii="Times New Roman" w:hAnsi="Times New Roman" w:cs="Times New Roman"/>
          <w:color w:val="0D0D0D" w:themeColor="text1" w:themeTint="F2"/>
          <w:sz w:val="24"/>
          <w:szCs w:val="24"/>
        </w:rPr>
        <w:t xml:space="preserve"> was still</w:t>
      </w:r>
      <w:r w:rsidR="00030ED5" w:rsidRPr="00842FE5">
        <w:rPr>
          <w:rFonts w:ascii="Times New Roman" w:hAnsi="Times New Roman" w:cs="Times New Roman"/>
          <w:color w:val="0D0D0D" w:themeColor="text1" w:themeTint="F2"/>
          <w:sz w:val="24"/>
          <w:szCs w:val="24"/>
        </w:rPr>
        <w:t xml:space="preserve"> </w:t>
      </w:r>
      <w:r w:rsidR="00C30737" w:rsidRPr="00842FE5">
        <w:rPr>
          <w:rFonts w:ascii="Times New Roman" w:hAnsi="Times New Roman" w:cs="Times New Roman"/>
          <w:color w:val="0D0D0D" w:themeColor="text1" w:themeTint="F2"/>
          <w:sz w:val="24"/>
          <w:szCs w:val="24"/>
        </w:rPr>
        <w:t xml:space="preserve">lower than </w:t>
      </w:r>
      <w:r w:rsidR="00030ED5" w:rsidRPr="00842FE5">
        <w:rPr>
          <w:rFonts w:ascii="Times New Roman" w:hAnsi="Times New Roman" w:cs="Times New Roman"/>
          <w:color w:val="0D0D0D" w:themeColor="text1" w:themeTint="F2"/>
          <w:sz w:val="24"/>
          <w:szCs w:val="24"/>
        </w:rPr>
        <w:t xml:space="preserve">the </w:t>
      </w:r>
      <w:r w:rsidR="002D470B" w:rsidRPr="00842FE5">
        <w:rPr>
          <w:rFonts w:ascii="Times New Roman" w:hAnsi="Times New Roman" w:cs="Times New Roman"/>
          <w:color w:val="0D0D0D" w:themeColor="text1" w:themeTint="F2"/>
          <w:sz w:val="24"/>
          <w:szCs w:val="24"/>
        </w:rPr>
        <w:t xml:space="preserve">previous studies cited, </w:t>
      </w:r>
      <w:r w:rsidR="00AA19D2" w:rsidRPr="00842FE5">
        <w:rPr>
          <w:rFonts w:ascii="Times New Roman" w:hAnsi="Times New Roman" w:cs="Times New Roman"/>
          <w:color w:val="0D0D0D" w:themeColor="text1" w:themeTint="F2"/>
          <w:sz w:val="24"/>
          <w:szCs w:val="24"/>
        </w:rPr>
        <w:t>the r</w:t>
      </w:r>
      <w:r w:rsidR="00C129ED" w:rsidRPr="00842FE5">
        <w:rPr>
          <w:rFonts w:ascii="Times New Roman" w:hAnsi="Times New Roman" w:cs="Times New Roman"/>
          <w:color w:val="0D0D0D" w:themeColor="text1" w:themeTint="F2"/>
          <w:sz w:val="24"/>
          <w:szCs w:val="24"/>
        </w:rPr>
        <w:t>eduction in HbA</w:t>
      </w:r>
      <w:r w:rsidR="00C129ED" w:rsidRPr="00842FE5">
        <w:rPr>
          <w:rFonts w:ascii="Times New Roman" w:hAnsi="Times New Roman" w:cs="Times New Roman"/>
          <w:color w:val="0D0D0D" w:themeColor="text1" w:themeTint="F2"/>
          <w:sz w:val="24"/>
          <w:szCs w:val="24"/>
          <w:vertAlign w:val="subscript"/>
        </w:rPr>
        <w:t>1c</w:t>
      </w:r>
      <w:r w:rsidR="00C129ED" w:rsidRPr="00842FE5">
        <w:rPr>
          <w:rFonts w:ascii="Times New Roman" w:hAnsi="Times New Roman" w:cs="Times New Roman"/>
          <w:color w:val="0D0D0D" w:themeColor="text1" w:themeTint="F2"/>
          <w:sz w:val="24"/>
          <w:szCs w:val="24"/>
        </w:rPr>
        <w:t xml:space="preserve"> </w:t>
      </w:r>
      <w:r w:rsidR="00C129ED" w:rsidRPr="00842FE5">
        <w:rPr>
          <w:rFonts w:ascii="Times New Roman" w:hAnsi="Times New Roman" w:cs="Times New Roman"/>
          <w:color w:val="0D0D0D" w:themeColor="text1" w:themeTint="F2"/>
          <w:sz w:val="24"/>
          <w:szCs w:val="24"/>
        </w:rPr>
        <w:lastRenderedPageBreak/>
        <w:t>and glycaemic control observed is positively correlated with insulin dose titration</w:t>
      </w:r>
      <w:r w:rsidR="0045230E" w:rsidRPr="00842FE5">
        <w:rPr>
          <w:rFonts w:ascii="Times New Roman" w:hAnsi="Times New Roman" w:cs="Times New Roman"/>
          <w:color w:val="0D0D0D" w:themeColor="text1" w:themeTint="F2"/>
          <w:sz w:val="24"/>
          <w:szCs w:val="24"/>
        </w:rPr>
        <w:t xml:space="preserve"> and was consistent</w:t>
      </w:r>
      <w:r w:rsidR="008935B3" w:rsidRPr="00842FE5">
        <w:rPr>
          <w:rFonts w:ascii="Times New Roman" w:hAnsi="Times New Roman" w:cs="Times New Roman"/>
          <w:color w:val="0D0D0D" w:themeColor="text1" w:themeTint="F2"/>
          <w:sz w:val="24"/>
          <w:szCs w:val="24"/>
        </w:rPr>
        <w:t xml:space="preserve"> with previous studies</w:t>
      </w:r>
      <w:r w:rsidR="00CB7043" w:rsidRPr="00842FE5">
        <w:rPr>
          <w:rFonts w:ascii="Times New Roman" w:hAnsi="Times New Roman" w:cs="Times New Roman"/>
          <w:color w:val="0D0D0D" w:themeColor="text1" w:themeTint="F2"/>
          <w:sz w:val="24"/>
          <w:szCs w:val="24"/>
        </w:rPr>
        <w:t xml:space="preserve"> [21,</w:t>
      </w:r>
      <w:r w:rsidR="00250B29" w:rsidRPr="00842FE5">
        <w:rPr>
          <w:rFonts w:ascii="Times New Roman" w:hAnsi="Times New Roman" w:cs="Times New Roman"/>
          <w:color w:val="0D0D0D" w:themeColor="text1" w:themeTint="F2"/>
          <w:sz w:val="24"/>
          <w:szCs w:val="24"/>
        </w:rPr>
        <w:t xml:space="preserve"> </w:t>
      </w:r>
      <w:r w:rsidR="00CB7043" w:rsidRPr="00842FE5">
        <w:rPr>
          <w:rFonts w:ascii="Times New Roman" w:hAnsi="Times New Roman" w:cs="Times New Roman"/>
          <w:color w:val="0D0D0D" w:themeColor="text1" w:themeTint="F2"/>
          <w:sz w:val="24"/>
          <w:szCs w:val="24"/>
        </w:rPr>
        <w:t>21]</w:t>
      </w:r>
      <w:r w:rsidR="00C129ED" w:rsidRPr="00842FE5">
        <w:rPr>
          <w:rFonts w:ascii="Times New Roman" w:hAnsi="Times New Roman" w:cs="Times New Roman"/>
          <w:color w:val="0D0D0D" w:themeColor="text1" w:themeTint="F2"/>
          <w:sz w:val="24"/>
          <w:szCs w:val="24"/>
        </w:rPr>
        <w:t>.</w:t>
      </w:r>
      <w:r w:rsidR="00794257" w:rsidRPr="00842FE5">
        <w:rPr>
          <w:rFonts w:ascii="Times New Roman" w:hAnsi="Times New Roman" w:cs="Times New Roman"/>
          <w:color w:val="0D0D0D" w:themeColor="text1" w:themeTint="F2"/>
          <w:sz w:val="24"/>
          <w:szCs w:val="24"/>
        </w:rPr>
        <w:t xml:space="preserve"> </w:t>
      </w:r>
      <w:r w:rsidR="00794257" w:rsidRPr="00D16153">
        <w:rPr>
          <w:rFonts w:ascii="Times New Roman" w:hAnsi="Times New Roman" w:cs="Times New Roman"/>
          <w:color w:val="0D0D0D" w:themeColor="text1" w:themeTint="F2"/>
          <w:sz w:val="24"/>
          <w:szCs w:val="24"/>
        </w:rPr>
        <w:t>After 26 weeks of Gla-300 treatment, there were minimal changes in body weight, improvements in treatment satisfaction and reported HCRU</w:t>
      </w:r>
      <w:r w:rsidR="00EF610D" w:rsidRPr="00842FE5">
        <w:rPr>
          <w:rFonts w:ascii="Times New Roman" w:hAnsi="Times New Roman" w:cs="Times New Roman"/>
          <w:color w:val="0D0D0D" w:themeColor="text1" w:themeTint="F2"/>
          <w:sz w:val="24"/>
          <w:szCs w:val="24"/>
        </w:rPr>
        <w:t xml:space="preserve"> were low</w:t>
      </w:r>
      <w:r w:rsidR="00EA6009" w:rsidRPr="00842FE5">
        <w:rPr>
          <w:rFonts w:ascii="Times New Roman" w:hAnsi="Times New Roman" w:cs="Times New Roman"/>
          <w:color w:val="0D0D0D" w:themeColor="text1" w:themeTint="F2"/>
          <w:sz w:val="24"/>
          <w:szCs w:val="24"/>
        </w:rPr>
        <w:t>.</w:t>
      </w:r>
      <w:r w:rsidR="00EF610D" w:rsidRPr="00842FE5">
        <w:rPr>
          <w:rFonts w:ascii="Times New Roman" w:hAnsi="Times New Roman" w:cs="Times New Roman"/>
          <w:color w:val="0D0D0D" w:themeColor="text1" w:themeTint="F2"/>
          <w:sz w:val="24"/>
          <w:szCs w:val="24"/>
        </w:rPr>
        <w:t xml:space="preserve"> </w:t>
      </w:r>
      <w:r w:rsidR="00EA6009" w:rsidRPr="00842FE5">
        <w:rPr>
          <w:rFonts w:ascii="Times New Roman" w:hAnsi="Times New Roman" w:cs="Times New Roman"/>
          <w:color w:val="0D0D0D" w:themeColor="text1" w:themeTint="F2"/>
          <w:sz w:val="24"/>
          <w:szCs w:val="24"/>
        </w:rPr>
        <w:t>T</w:t>
      </w:r>
      <w:r w:rsidR="00EF610D" w:rsidRPr="00842FE5">
        <w:rPr>
          <w:rFonts w:ascii="Times New Roman" w:hAnsi="Times New Roman" w:cs="Times New Roman"/>
          <w:color w:val="0D0D0D" w:themeColor="text1" w:themeTint="F2"/>
          <w:sz w:val="24"/>
          <w:szCs w:val="24"/>
        </w:rPr>
        <w:t>here were</w:t>
      </w:r>
      <w:r w:rsidR="00217716" w:rsidRPr="00842FE5">
        <w:rPr>
          <w:rFonts w:ascii="Times New Roman" w:hAnsi="Times New Roman" w:cs="Times New Roman"/>
          <w:color w:val="0D0D0D" w:themeColor="text1" w:themeTint="F2"/>
          <w:sz w:val="24"/>
          <w:szCs w:val="24"/>
        </w:rPr>
        <w:t xml:space="preserve"> no HCRU re</w:t>
      </w:r>
      <w:r w:rsidR="00866636" w:rsidRPr="00842FE5">
        <w:rPr>
          <w:rFonts w:ascii="Times New Roman" w:hAnsi="Times New Roman" w:cs="Times New Roman"/>
          <w:color w:val="0D0D0D" w:themeColor="text1" w:themeTint="F2"/>
          <w:sz w:val="24"/>
          <w:szCs w:val="24"/>
        </w:rPr>
        <w:t xml:space="preserve">lated </w:t>
      </w:r>
      <w:r w:rsidR="00217716" w:rsidRPr="00842FE5">
        <w:rPr>
          <w:rFonts w:ascii="Times New Roman" w:hAnsi="Times New Roman" w:cs="Times New Roman"/>
          <w:color w:val="0D0D0D" w:themeColor="text1" w:themeTint="F2"/>
          <w:sz w:val="24"/>
          <w:szCs w:val="24"/>
        </w:rPr>
        <w:t xml:space="preserve">to diabetes </w:t>
      </w:r>
      <w:r w:rsidR="007F50E9" w:rsidRPr="00842FE5">
        <w:rPr>
          <w:rFonts w:ascii="Times New Roman" w:hAnsi="Times New Roman" w:cs="Times New Roman"/>
          <w:color w:val="0D0D0D" w:themeColor="text1" w:themeTint="F2"/>
          <w:sz w:val="24"/>
          <w:szCs w:val="24"/>
        </w:rPr>
        <w:t xml:space="preserve">or </w:t>
      </w:r>
      <w:r w:rsidR="00430B37" w:rsidRPr="00842FE5">
        <w:rPr>
          <w:rFonts w:ascii="Times New Roman" w:hAnsi="Times New Roman" w:cs="Times New Roman"/>
          <w:color w:val="0D0D0D" w:themeColor="text1" w:themeTint="F2"/>
          <w:sz w:val="24"/>
          <w:szCs w:val="24"/>
        </w:rPr>
        <w:t xml:space="preserve">hypoglycaemia in addition to the scheduled </w:t>
      </w:r>
      <w:r w:rsidR="0067340D" w:rsidRPr="00842FE5">
        <w:rPr>
          <w:rFonts w:ascii="Times New Roman" w:hAnsi="Times New Roman" w:cs="Times New Roman"/>
          <w:color w:val="0D0D0D" w:themeColor="text1" w:themeTint="F2"/>
          <w:sz w:val="24"/>
          <w:szCs w:val="24"/>
        </w:rPr>
        <w:t xml:space="preserve">study </w:t>
      </w:r>
      <w:r w:rsidR="00430B37" w:rsidRPr="00842FE5">
        <w:rPr>
          <w:rFonts w:ascii="Times New Roman" w:hAnsi="Times New Roman" w:cs="Times New Roman"/>
          <w:color w:val="0D0D0D" w:themeColor="text1" w:themeTint="F2"/>
          <w:sz w:val="24"/>
          <w:szCs w:val="24"/>
        </w:rPr>
        <w:t>visits</w:t>
      </w:r>
      <w:r w:rsidR="00794257" w:rsidRPr="00842FE5">
        <w:rPr>
          <w:rFonts w:ascii="Times New Roman" w:hAnsi="Times New Roman" w:cs="Times New Roman"/>
          <w:color w:val="0D0D0D" w:themeColor="text1" w:themeTint="F2"/>
          <w:sz w:val="24"/>
          <w:szCs w:val="24"/>
        </w:rPr>
        <w:t>.</w:t>
      </w:r>
      <w:r w:rsidR="00EF610D" w:rsidRPr="00842FE5">
        <w:rPr>
          <w:rFonts w:ascii="Times New Roman" w:hAnsi="Times New Roman" w:cs="Times New Roman"/>
          <w:color w:val="0D0D0D" w:themeColor="text1" w:themeTint="F2"/>
          <w:sz w:val="24"/>
          <w:szCs w:val="24"/>
        </w:rPr>
        <w:t xml:space="preserve"> </w:t>
      </w:r>
    </w:p>
    <w:p w14:paraId="7601198E" w14:textId="461EEB0C" w:rsidR="00F52588" w:rsidRPr="00842FE5" w:rsidRDefault="00A12FBB" w:rsidP="00B06D50">
      <w:pPr>
        <w:tabs>
          <w:tab w:val="left" w:pos="709"/>
        </w:tabs>
        <w:spacing w:line="480" w:lineRule="auto"/>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The i</w:t>
      </w:r>
      <w:r w:rsidR="00DA54E0" w:rsidRPr="00842FE5">
        <w:rPr>
          <w:rFonts w:ascii="Times New Roman" w:hAnsi="Times New Roman" w:cs="Times New Roman"/>
          <w:color w:val="0D0D0D" w:themeColor="text1" w:themeTint="F2"/>
          <w:sz w:val="24"/>
          <w:szCs w:val="24"/>
        </w:rPr>
        <w:t xml:space="preserve">ncidence of </w:t>
      </w:r>
      <w:r w:rsidR="003C59D2" w:rsidRPr="00842FE5">
        <w:rPr>
          <w:rFonts w:ascii="Times New Roman" w:hAnsi="Times New Roman" w:cs="Times New Roman"/>
          <w:color w:val="0D0D0D" w:themeColor="text1" w:themeTint="F2"/>
          <w:sz w:val="24"/>
          <w:szCs w:val="24"/>
        </w:rPr>
        <w:t>hypoglyc</w:t>
      </w:r>
      <w:r w:rsidR="00AE495C" w:rsidRPr="00842FE5">
        <w:rPr>
          <w:rFonts w:ascii="Times New Roman" w:hAnsi="Times New Roman" w:cs="Times New Roman"/>
          <w:color w:val="0D0D0D" w:themeColor="text1" w:themeTint="F2"/>
          <w:sz w:val="24"/>
          <w:szCs w:val="24"/>
        </w:rPr>
        <w:t>a</w:t>
      </w:r>
      <w:r w:rsidR="003C59D2" w:rsidRPr="00842FE5">
        <w:rPr>
          <w:rFonts w:ascii="Times New Roman" w:hAnsi="Times New Roman" w:cs="Times New Roman"/>
          <w:color w:val="0D0D0D" w:themeColor="text1" w:themeTint="F2"/>
          <w:sz w:val="24"/>
          <w:szCs w:val="24"/>
        </w:rPr>
        <w:t xml:space="preserve">emia </w:t>
      </w:r>
      <w:r w:rsidR="00CB0006" w:rsidRPr="00842FE5">
        <w:rPr>
          <w:rFonts w:ascii="Times New Roman" w:hAnsi="Times New Roman" w:cs="Times New Roman"/>
          <w:color w:val="0D0D0D" w:themeColor="text1" w:themeTint="F2"/>
          <w:sz w:val="24"/>
          <w:szCs w:val="24"/>
        </w:rPr>
        <w:t xml:space="preserve">and nocturnal </w:t>
      </w:r>
      <w:r w:rsidR="003E0519" w:rsidRPr="00842FE5">
        <w:rPr>
          <w:rFonts w:ascii="Times New Roman" w:hAnsi="Times New Roman" w:cs="Times New Roman"/>
          <w:color w:val="0D0D0D" w:themeColor="text1" w:themeTint="F2"/>
          <w:sz w:val="24"/>
          <w:szCs w:val="24"/>
        </w:rPr>
        <w:t>hypoglycaemia</w:t>
      </w:r>
      <w:r w:rsidR="00CB0006" w:rsidRPr="00842FE5">
        <w:rPr>
          <w:rFonts w:ascii="Times New Roman" w:hAnsi="Times New Roman" w:cs="Times New Roman"/>
          <w:color w:val="0D0D0D" w:themeColor="text1" w:themeTint="F2"/>
          <w:sz w:val="24"/>
          <w:szCs w:val="24"/>
        </w:rPr>
        <w:t xml:space="preserve"> </w:t>
      </w:r>
      <w:r w:rsidR="003C59D2" w:rsidRPr="00842FE5">
        <w:rPr>
          <w:rFonts w:ascii="Times New Roman" w:hAnsi="Times New Roman" w:cs="Times New Roman"/>
          <w:color w:val="0D0D0D" w:themeColor="text1" w:themeTint="F2"/>
          <w:sz w:val="24"/>
          <w:szCs w:val="24"/>
        </w:rPr>
        <w:t xml:space="preserve">observed in </w:t>
      </w:r>
      <w:r w:rsidR="00CB0006" w:rsidRPr="00842FE5">
        <w:rPr>
          <w:rFonts w:ascii="Times New Roman" w:hAnsi="Times New Roman" w:cs="Times New Roman"/>
          <w:color w:val="0D0D0D" w:themeColor="text1" w:themeTint="F2"/>
          <w:sz w:val="24"/>
          <w:szCs w:val="24"/>
        </w:rPr>
        <w:t xml:space="preserve">ARTEMIS-DM study was </w:t>
      </w:r>
      <w:r w:rsidR="003C59D2" w:rsidRPr="00842FE5">
        <w:rPr>
          <w:rFonts w:ascii="Times New Roman" w:hAnsi="Times New Roman" w:cs="Times New Roman"/>
          <w:color w:val="0D0D0D" w:themeColor="text1" w:themeTint="F2"/>
          <w:sz w:val="24"/>
          <w:szCs w:val="24"/>
        </w:rPr>
        <w:t xml:space="preserve">20.4% </w:t>
      </w:r>
      <w:r w:rsidR="00706332" w:rsidRPr="00842FE5">
        <w:rPr>
          <w:rFonts w:ascii="Times New Roman" w:hAnsi="Times New Roman" w:cs="Times New Roman"/>
          <w:color w:val="0D0D0D" w:themeColor="text1" w:themeTint="F2"/>
          <w:sz w:val="24"/>
          <w:szCs w:val="24"/>
        </w:rPr>
        <w:t>and</w:t>
      </w:r>
      <w:r w:rsidR="00DB1C53" w:rsidRPr="00842FE5">
        <w:rPr>
          <w:rFonts w:ascii="Times New Roman" w:hAnsi="Times New Roman" w:cs="Times New Roman"/>
          <w:color w:val="0D0D0D" w:themeColor="text1" w:themeTint="F2"/>
          <w:sz w:val="24"/>
          <w:szCs w:val="24"/>
        </w:rPr>
        <w:t xml:space="preserve"> 9.4</w:t>
      </w:r>
      <w:r w:rsidR="00AA41B4" w:rsidRPr="00842FE5">
        <w:rPr>
          <w:rFonts w:ascii="Times New Roman" w:hAnsi="Times New Roman" w:cs="Times New Roman"/>
          <w:color w:val="0D0D0D" w:themeColor="text1" w:themeTint="F2"/>
          <w:sz w:val="24"/>
          <w:szCs w:val="24"/>
        </w:rPr>
        <w:t>%</w:t>
      </w:r>
      <w:r w:rsidR="00DB1C53" w:rsidRPr="00842FE5">
        <w:rPr>
          <w:rFonts w:ascii="Times New Roman" w:hAnsi="Times New Roman" w:cs="Times New Roman"/>
          <w:color w:val="0D0D0D" w:themeColor="text1" w:themeTint="F2"/>
          <w:sz w:val="24"/>
          <w:szCs w:val="24"/>
        </w:rPr>
        <w:t xml:space="preserve">, </w:t>
      </w:r>
      <w:r w:rsidR="00816954" w:rsidRPr="00842FE5">
        <w:rPr>
          <w:rFonts w:ascii="Times New Roman" w:hAnsi="Times New Roman" w:cs="Times New Roman"/>
          <w:color w:val="0D0D0D" w:themeColor="text1" w:themeTint="F2"/>
          <w:sz w:val="24"/>
          <w:szCs w:val="24"/>
        </w:rPr>
        <w:t>respectively,</w:t>
      </w:r>
      <w:r w:rsidR="00706332" w:rsidRPr="00842FE5">
        <w:rPr>
          <w:rFonts w:ascii="Times New Roman" w:hAnsi="Times New Roman" w:cs="Times New Roman"/>
          <w:color w:val="0D0D0D" w:themeColor="text1" w:themeTint="F2"/>
          <w:sz w:val="24"/>
          <w:szCs w:val="24"/>
        </w:rPr>
        <w:t xml:space="preserve"> </w:t>
      </w:r>
      <w:r w:rsidR="00A24A51" w:rsidRPr="00842FE5">
        <w:rPr>
          <w:rFonts w:ascii="Times New Roman" w:hAnsi="Times New Roman" w:cs="Times New Roman"/>
          <w:color w:val="0D0D0D" w:themeColor="text1" w:themeTint="F2"/>
          <w:sz w:val="24"/>
          <w:szCs w:val="24"/>
        </w:rPr>
        <w:t xml:space="preserve">which is </w:t>
      </w:r>
      <w:r w:rsidR="009A059C" w:rsidRPr="00842FE5">
        <w:rPr>
          <w:rFonts w:ascii="Times New Roman" w:hAnsi="Times New Roman" w:cs="Times New Roman"/>
          <w:color w:val="0D0D0D" w:themeColor="text1" w:themeTint="F2"/>
          <w:sz w:val="24"/>
          <w:szCs w:val="24"/>
        </w:rPr>
        <w:t xml:space="preserve">lower </w:t>
      </w:r>
      <w:r w:rsidR="00737E88" w:rsidRPr="00842FE5">
        <w:rPr>
          <w:rFonts w:ascii="Times New Roman" w:hAnsi="Times New Roman" w:cs="Times New Roman"/>
          <w:color w:val="0D0D0D" w:themeColor="text1" w:themeTint="F2"/>
          <w:sz w:val="24"/>
          <w:szCs w:val="24"/>
        </w:rPr>
        <w:t>compared to</w:t>
      </w:r>
      <w:r w:rsidR="00A24A51" w:rsidRPr="00842FE5">
        <w:rPr>
          <w:rFonts w:ascii="Times New Roman" w:hAnsi="Times New Roman" w:cs="Times New Roman"/>
          <w:color w:val="0D0D0D" w:themeColor="text1" w:themeTint="F2"/>
          <w:sz w:val="24"/>
          <w:szCs w:val="24"/>
        </w:rPr>
        <w:t xml:space="preserve"> EDITION</w:t>
      </w:r>
      <w:r w:rsidR="004B6AA6" w:rsidRPr="00842FE5">
        <w:rPr>
          <w:rFonts w:ascii="Times New Roman" w:hAnsi="Times New Roman" w:cs="Times New Roman"/>
          <w:color w:val="0D0D0D" w:themeColor="text1" w:themeTint="F2"/>
          <w:sz w:val="24"/>
          <w:szCs w:val="24"/>
        </w:rPr>
        <w:t xml:space="preserve"> 2</w:t>
      </w:r>
      <w:r w:rsidR="00EE5F9A" w:rsidRPr="00842FE5">
        <w:rPr>
          <w:rFonts w:ascii="Times New Roman" w:hAnsi="Times New Roman" w:cs="Times New Roman"/>
          <w:color w:val="0D0D0D" w:themeColor="text1" w:themeTint="F2"/>
          <w:sz w:val="24"/>
          <w:szCs w:val="24"/>
        </w:rPr>
        <w:t xml:space="preserve"> </w:t>
      </w:r>
      <w:r w:rsidR="00D22399" w:rsidRPr="00842FE5">
        <w:rPr>
          <w:rFonts w:ascii="Times New Roman" w:hAnsi="Times New Roman" w:cs="Times New Roman"/>
          <w:color w:val="0D0D0D" w:themeColor="text1" w:themeTint="F2"/>
          <w:sz w:val="24"/>
          <w:szCs w:val="24"/>
        </w:rPr>
        <w:t>and TRANSITION</w:t>
      </w:r>
      <w:r w:rsidR="00AB5D37" w:rsidRPr="00842FE5">
        <w:rPr>
          <w:rFonts w:ascii="Times New Roman" w:hAnsi="Times New Roman" w:cs="Times New Roman"/>
          <w:color w:val="0D0D0D" w:themeColor="text1" w:themeTint="F2"/>
          <w:sz w:val="24"/>
          <w:szCs w:val="24"/>
        </w:rPr>
        <w:t xml:space="preserve"> 2</w:t>
      </w:r>
      <w:r w:rsidR="00EE5F9A" w:rsidRPr="00842FE5">
        <w:rPr>
          <w:rFonts w:ascii="Times New Roman" w:hAnsi="Times New Roman" w:cs="Times New Roman"/>
          <w:color w:val="0D0D0D" w:themeColor="text1" w:themeTint="F2"/>
          <w:sz w:val="24"/>
          <w:szCs w:val="24"/>
        </w:rPr>
        <w:t xml:space="preserve"> </w:t>
      </w:r>
      <w:r w:rsidR="00D22399" w:rsidRPr="00842FE5">
        <w:rPr>
          <w:rFonts w:ascii="Times New Roman" w:hAnsi="Times New Roman" w:cs="Times New Roman"/>
          <w:color w:val="0D0D0D" w:themeColor="text1" w:themeTint="F2"/>
          <w:sz w:val="24"/>
          <w:szCs w:val="24"/>
        </w:rPr>
        <w:t>s</w:t>
      </w:r>
      <w:r w:rsidR="00B218E4" w:rsidRPr="00842FE5">
        <w:rPr>
          <w:rFonts w:ascii="Times New Roman" w:hAnsi="Times New Roman" w:cs="Times New Roman"/>
          <w:color w:val="0D0D0D" w:themeColor="text1" w:themeTint="F2"/>
          <w:sz w:val="24"/>
          <w:szCs w:val="24"/>
        </w:rPr>
        <w:t>t</w:t>
      </w:r>
      <w:r w:rsidR="00D22399" w:rsidRPr="00842FE5">
        <w:rPr>
          <w:rFonts w:ascii="Times New Roman" w:hAnsi="Times New Roman" w:cs="Times New Roman"/>
          <w:color w:val="0D0D0D" w:themeColor="text1" w:themeTint="F2"/>
          <w:sz w:val="24"/>
          <w:szCs w:val="24"/>
        </w:rPr>
        <w:t>udies</w:t>
      </w:r>
      <w:r w:rsidR="0007761D" w:rsidRPr="00842FE5">
        <w:rPr>
          <w:rFonts w:ascii="Times New Roman" w:hAnsi="Times New Roman" w:cs="Times New Roman"/>
          <w:color w:val="0D0D0D" w:themeColor="text1" w:themeTint="F2"/>
          <w:sz w:val="24"/>
          <w:szCs w:val="24"/>
        </w:rPr>
        <w:t xml:space="preserve"> [19,</w:t>
      </w:r>
      <w:r w:rsidR="007F378A" w:rsidRPr="00842FE5">
        <w:rPr>
          <w:rFonts w:ascii="Times New Roman" w:hAnsi="Times New Roman" w:cs="Times New Roman"/>
          <w:color w:val="0D0D0D" w:themeColor="text1" w:themeTint="F2"/>
          <w:sz w:val="24"/>
          <w:szCs w:val="24"/>
        </w:rPr>
        <w:t xml:space="preserve"> </w:t>
      </w:r>
      <w:r w:rsidR="0007761D" w:rsidRPr="00842FE5">
        <w:rPr>
          <w:rFonts w:ascii="Times New Roman" w:hAnsi="Times New Roman" w:cs="Times New Roman"/>
          <w:color w:val="0D0D0D" w:themeColor="text1" w:themeTint="F2"/>
          <w:sz w:val="24"/>
          <w:szCs w:val="24"/>
        </w:rPr>
        <w:t>21]</w:t>
      </w:r>
      <w:r w:rsidR="003C59D2" w:rsidRPr="00842FE5">
        <w:rPr>
          <w:rFonts w:ascii="Times New Roman" w:hAnsi="Times New Roman" w:cs="Times New Roman"/>
          <w:color w:val="0D0D0D" w:themeColor="text1" w:themeTint="F2"/>
          <w:sz w:val="24"/>
          <w:szCs w:val="24"/>
        </w:rPr>
        <w:t>.</w:t>
      </w:r>
      <w:r w:rsidR="003F67E3" w:rsidRPr="00842FE5">
        <w:rPr>
          <w:rFonts w:ascii="Times New Roman" w:hAnsi="Times New Roman" w:cs="Times New Roman"/>
          <w:color w:val="0D0D0D" w:themeColor="text1" w:themeTint="F2"/>
          <w:sz w:val="24"/>
          <w:szCs w:val="24"/>
        </w:rPr>
        <w:t xml:space="preserve"> </w:t>
      </w:r>
      <w:r w:rsidR="0007761D" w:rsidRPr="00842FE5">
        <w:rPr>
          <w:rFonts w:ascii="Times New Roman" w:hAnsi="Times New Roman" w:cs="Times New Roman"/>
          <w:color w:val="0D0D0D" w:themeColor="text1" w:themeTint="F2"/>
          <w:sz w:val="24"/>
          <w:szCs w:val="24"/>
        </w:rPr>
        <w:t xml:space="preserve">The </w:t>
      </w:r>
      <w:r w:rsidR="00DD61A7" w:rsidRPr="00842FE5">
        <w:rPr>
          <w:rFonts w:ascii="Times New Roman" w:hAnsi="Times New Roman" w:cs="Times New Roman"/>
          <w:color w:val="0D0D0D" w:themeColor="text1" w:themeTint="F2"/>
          <w:sz w:val="24"/>
          <w:szCs w:val="24"/>
        </w:rPr>
        <w:t>EDITION 2 study</w:t>
      </w:r>
      <w:r w:rsidR="00581D71" w:rsidRPr="00842FE5">
        <w:rPr>
          <w:rFonts w:ascii="Times New Roman" w:hAnsi="Times New Roman" w:cs="Times New Roman"/>
          <w:color w:val="0D0D0D" w:themeColor="text1" w:themeTint="F2"/>
          <w:sz w:val="24"/>
          <w:szCs w:val="24"/>
        </w:rPr>
        <w:t xml:space="preserve"> </w:t>
      </w:r>
      <w:r w:rsidR="00997348" w:rsidRPr="00842FE5">
        <w:rPr>
          <w:rFonts w:ascii="Times New Roman" w:hAnsi="Times New Roman" w:cs="Times New Roman"/>
          <w:color w:val="0D0D0D" w:themeColor="text1" w:themeTint="F2"/>
          <w:sz w:val="24"/>
          <w:szCs w:val="24"/>
        </w:rPr>
        <w:t xml:space="preserve">reported </w:t>
      </w:r>
      <w:r w:rsidR="00881D6F" w:rsidRPr="00842FE5">
        <w:rPr>
          <w:rFonts w:ascii="Times New Roman" w:hAnsi="Times New Roman" w:cs="Times New Roman"/>
          <w:color w:val="0D0D0D" w:themeColor="text1" w:themeTint="F2"/>
          <w:sz w:val="24"/>
          <w:szCs w:val="24"/>
        </w:rPr>
        <w:t xml:space="preserve">71.5% and </w:t>
      </w:r>
      <w:r w:rsidR="00E85D01" w:rsidRPr="00842FE5">
        <w:rPr>
          <w:rFonts w:ascii="Times New Roman" w:hAnsi="Times New Roman" w:cs="Times New Roman"/>
          <w:color w:val="0D0D0D" w:themeColor="text1" w:themeTint="F2"/>
          <w:sz w:val="24"/>
          <w:szCs w:val="24"/>
        </w:rPr>
        <w:t>3</w:t>
      </w:r>
      <w:r w:rsidR="00997348" w:rsidRPr="00842FE5">
        <w:rPr>
          <w:rFonts w:ascii="Times New Roman" w:hAnsi="Times New Roman" w:cs="Times New Roman"/>
          <w:color w:val="0D0D0D" w:themeColor="text1" w:themeTint="F2"/>
          <w:sz w:val="24"/>
          <w:szCs w:val="24"/>
        </w:rPr>
        <w:t>0</w:t>
      </w:r>
      <w:r w:rsidR="0039469D" w:rsidRPr="00842FE5">
        <w:rPr>
          <w:rFonts w:ascii="Times New Roman" w:hAnsi="Times New Roman" w:cs="Times New Roman"/>
          <w:color w:val="0D0D0D" w:themeColor="text1" w:themeTint="F2"/>
          <w:sz w:val="24"/>
          <w:szCs w:val="24"/>
        </w:rPr>
        <w:t>.</w:t>
      </w:r>
      <w:r w:rsidR="003F0C63" w:rsidRPr="00842FE5">
        <w:rPr>
          <w:rFonts w:ascii="Times New Roman" w:hAnsi="Times New Roman" w:cs="Times New Roman"/>
          <w:color w:val="0D0D0D" w:themeColor="text1" w:themeTint="F2"/>
          <w:sz w:val="24"/>
          <w:szCs w:val="24"/>
        </w:rPr>
        <w:t>5</w:t>
      </w:r>
      <w:r w:rsidR="00997348" w:rsidRPr="00842FE5">
        <w:rPr>
          <w:rFonts w:ascii="Times New Roman" w:hAnsi="Times New Roman" w:cs="Times New Roman"/>
          <w:color w:val="0D0D0D" w:themeColor="text1" w:themeTint="F2"/>
          <w:sz w:val="24"/>
          <w:szCs w:val="24"/>
        </w:rPr>
        <w:t>% o</w:t>
      </w:r>
      <w:r w:rsidR="00071C0E" w:rsidRPr="00842FE5">
        <w:rPr>
          <w:rFonts w:ascii="Times New Roman" w:hAnsi="Times New Roman" w:cs="Times New Roman"/>
          <w:color w:val="0D0D0D" w:themeColor="text1" w:themeTint="F2"/>
          <w:sz w:val="24"/>
          <w:szCs w:val="24"/>
        </w:rPr>
        <w:t>f</w:t>
      </w:r>
      <w:r w:rsidR="00997348" w:rsidRPr="00842FE5">
        <w:rPr>
          <w:rFonts w:ascii="Times New Roman" w:hAnsi="Times New Roman" w:cs="Times New Roman"/>
          <w:color w:val="0D0D0D" w:themeColor="text1" w:themeTint="F2"/>
          <w:sz w:val="24"/>
          <w:szCs w:val="24"/>
        </w:rPr>
        <w:t xml:space="preserve"> participants experiencing</w:t>
      </w:r>
      <w:r w:rsidR="00AB5D37" w:rsidRPr="00842FE5">
        <w:rPr>
          <w:rFonts w:ascii="Times New Roman" w:hAnsi="Times New Roman" w:cs="Times New Roman"/>
          <w:color w:val="0D0D0D" w:themeColor="text1" w:themeTint="F2"/>
          <w:sz w:val="24"/>
          <w:szCs w:val="24"/>
        </w:rPr>
        <w:t xml:space="preserve"> </w:t>
      </w:r>
      <w:r w:rsidR="003F0C63" w:rsidRPr="00842FE5">
        <w:rPr>
          <w:rFonts w:ascii="Times New Roman" w:hAnsi="Times New Roman" w:cs="Times New Roman"/>
          <w:color w:val="0D0D0D" w:themeColor="text1" w:themeTint="F2"/>
          <w:sz w:val="24"/>
          <w:szCs w:val="24"/>
        </w:rPr>
        <w:t>any</w:t>
      </w:r>
      <w:r w:rsidR="002D2727" w:rsidRPr="00842FE5">
        <w:rPr>
          <w:rFonts w:ascii="Times New Roman" w:hAnsi="Times New Roman" w:cs="Times New Roman"/>
          <w:color w:val="0D0D0D" w:themeColor="text1" w:themeTint="F2"/>
          <w:sz w:val="24"/>
          <w:szCs w:val="24"/>
        </w:rPr>
        <w:t xml:space="preserve"> hypoglycaemia</w:t>
      </w:r>
      <w:r w:rsidR="003F0C63" w:rsidRPr="00842FE5">
        <w:rPr>
          <w:rFonts w:ascii="Times New Roman" w:hAnsi="Times New Roman" w:cs="Times New Roman"/>
          <w:color w:val="0D0D0D" w:themeColor="text1" w:themeTint="F2"/>
          <w:sz w:val="24"/>
          <w:szCs w:val="24"/>
        </w:rPr>
        <w:t xml:space="preserve"> and </w:t>
      </w:r>
      <w:r w:rsidR="00AB5D37" w:rsidRPr="00842FE5">
        <w:rPr>
          <w:rFonts w:ascii="Times New Roman" w:hAnsi="Times New Roman" w:cs="Times New Roman"/>
          <w:color w:val="0D0D0D" w:themeColor="text1" w:themeTint="F2"/>
          <w:sz w:val="24"/>
          <w:szCs w:val="24"/>
        </w:rPr>
        <w:t>nocturnal hypoglycaemia</w:t>
      </w:r>
      <w:r w:rsidR="003F0C63" w:rsidRPr="00842FE5">
        <w:rPr>
          <w:rFonts w:ascii="Times New Roman" w:hAnsi="Times New Roman" w:cs="Times New Roman"/>
          <w:color w:val="0D0D0D" w:themeColor="text1" w:themeTint="F2"/>
          <w:sz w:val="24"/>
          <w:szCs w:val="24"/>
        </w:rPr>
        <w:t>, respectively</w:t>
      </w:r>
      <w:r w:rsidR="00F759B0">
        <w:rPr>
          <w:rFonts w:ascii="Times New Roman" w:hAnsi="Times New Roman" w:cs="Times New Roman"/>
          <w:color w:val="0D0D0D" w:themeColor="text1" w:themeTint="F2"/>
          <w:sz w:val="24"/>
          <w:szCs w:val="24"/>
        </w:rPr>
        <w:t>;</w:t>
      </w:r>
      <w:r w:rsidR="00AB5D37" w:rsidRPr="00842FE5">
        <w:rPr>
          <w:rFonts w:ascii="Times New Roman" w:hAnsi="Times New Roman" w:cs="Times New Roman"/>
          <w:color w:val="0D0D0D" w:themeColor="text1" w:themeTint="F2"/>
          <w:sz w:val="24"/>
          <w:szCs w:val="24"/>
        </w:rPr>
        <w:t xml:space="preserve"> whereas</w:t>
      </w:r>
      <w:r w:rsidR="006F0047" w:rsidRPr="00842FE5">
        <w:rPr>
          <w:rFonts w:ascii="Times New Roman" w:hAnsi="Times New Roman" w:cs="Times New Roman"/>
          <w:color w:val="0D0D0D" w:themeColor="text1" w:themeTint="F2"/>
          <w:sz w:val="24"/>
          <w:szCs w:val="24"/>
        </w:rPr>
        <w:t xml:space="preserve"> the </w:t>
      </w:r>
      <w:r w:rsidR="00AB5D37" w:rsidRPr="00842FE5">
        <w:rPr>
          <w:rFonts w:ascii="Times New Roman" w:hAnsi="Times New Roman" w:cs="Times New Roman"/>
          <w:color w:val="0D0D0D" w:themeColor="text1" w:themeTint="F2"/>
          <w:sz w:val="24"/>
          <w:szCs w:val="24"/>
        </w:rPr>
        <w:t xml:space="preserve">TRANSITION 2 study reported </w:t>
      </w:r>
      <w:r w:rsidR="00094D96" w:rsidRPr="00842FE5">
        <w:rPr>
          <w:rFonts w:ascii="Times New Roman" w:hAnsi="Times New Roman" w:cs="Times New Roman"/>
          <w:color w:val="0D0D0D" w:themeColor="text1" w:themeTint="F2"/>
          <w:sz w:val="24"/>
          <w:szCs w:val="24"/>
        </w:rPr>
        <w:t>46.0% of the participants had at least one</w:t>
      </w:r>
      <w:r w:rsidR="00A363B0" w:rsidRPr="00842FE5">
        <w:rPr>
          <w:rFonts w:ascii="Times New Roman" w:hAnsi="Times New Roman" w:cs="Times New Roman"/>
          <w:color w:val="0D0D0D" w:themeColor="text1" w:themeTint="F2"/>
          <w:sz w:val="24"/>
          <w:szCs w:val="24"/>
        </w:rPr>
        <w:t xml:space="preserve"> </w:t>
      </w:r>
      <w:r w:rsidR="00094D96" w:rsidRPr="00842FE5">
        <w:rPr>
          <w:rFonts w:ascii="Times New Roman" w:hAnsi="Times New Roman" w:cs="Times New Roman"/>
          <w:color w:val="0D0D0D" w:themeColor="text1" w:themeTint="F2"/>
          <w:sz w:val="24"/>
          <w:szCs w:val="24"/>
        </w:rPr>
        <w:t>hypoglyc</w:t>
      </w:r>
      <w:r w:rsidR="00F96EDC" w:rsidRPr="00842FE5">
        <w:rPr>
          <w:rFonts w:ascii="Times New Roman" w:hAnsi="Times New Roman" w:cs="Times New Roman"/>
          <w:color w:val="0D0D0D" w:themeColor="text1" w:themeTint="F2"/>
          <w:sz w:val="24"/>
          <w:szCs w:val="24"/>
        </w:rPr>
        <w:t>a</w:t>
      </w:r>
      <w:r w:rsidR="00094D96" w:rsidRPr="00842FE5">
        <w:rPr>
          <w:rFonts w:ascii="Times New Roman" w:hAnsi="Times New Roman" w:cs="Times New Roman"/>
          <w:color w:val="0D0D0D" w:themeColor="text1" w:themeTint="F2"/>
          <w:sz w:val="24"/>
          <w:szCs w:val="24"/>
        </w:rPr>
        <w:t>emia event and 12.2% experienced nocturnal hypoglyc</w:t>
      </w:r>
      <w:r w:rsidR="003E0519" w:rsidRPr="00842FE5">
        <w:rPr>
          <w:rFonts w:ascii="Times New Roman" w:hAnsi="Times New Roman" w:cs="Times New Roman"/>
          <w:color w:val="0D0D0D" w:themeColor="text1" w:themeTint="F2"/>
          <w:sz w:val="24"/>
          <w:szCs w:val="24"/>
        </w:rPr>
        <w:t>a</w:t>
      </w:r>
      <w:r w:rsidR="00094D96" w:rsidRPr="00842FE5">
        <w:rPr>
          <w:rFonts w:ascii="Times New Roman" w:hAnsi="Times New Roman" w:cs="Times New Roman"/>
          <w:color w:val="0D0D0D" w:themeColor="text1" w:themeTint="F2"/>
          <w:sz w:val="24"/>
          <w:szCs w:val="24"/>
        </w:rPr>
        <w:t>emia</w:t>
      </w:r>
      <w:r w:rsidR="006F0047" w:rsidRPr="00842FE5">
        <w:rPr>
          <w:rFonts w:ascii="Times New Roman" w:hAnsi="Times New Roman" w:cs="Times New Roman"/>
          <w:color w:val="0D0D0D" w:themeColor="text1" w:themeTint="F2"/>
          <w:sz w:val="24"/>
          <w:szCs w:val="24"/>
        </w:rPr>
        <w:t xml:space="preserve"> [19,</w:t>
      </w:r>
      <w:r w:rsidR="007F378A" w:rsidRPr="00842FE5">
        <w:rPr>
          <w:rFonts w:ascii="Times New Roman" w:hAnsi="Times New Roman" w:cs="Times New Roman"/>
          <w:color w:val="0D0D0D" w:themeColor="text1" w:themeTint="F2"/>
          <w:sz w:val="24"/>
          <w:szCs w:val="24"/>
        </w:rPr>
        <w:t xml:space="preserve"> </w:t>
      </w:r>
      <w:r w:rsidR="006F0047" w:rsidRPr="00842FE5">
        <w:rPr>
          <w:rFonts w:ascii="Times New Roman" w:hAnsi="Times New Roman" w:cs="Times New Roman"/>
          <w:color w:val="0D0D0D" w:themeColor="text1" w:themeTint="F2"/>
          <w:sz w:val="24"/>
          <w:szCs w:val="24"/>
        </w:rPr>
        <w:t>20]</w:t>
      </w:r>
      <w:r w:rsidR="00094D96" w:rsidRPr="00842FE5">
        <w:rPr>
          <w:rFonts w:ascii="Times New Roman" w:hAnsi="Times New Roman" w:cs="Times New Roman"/>
          <w:color w:val="0D0D0D" w:themeColor="text1" w:themeTint="F2"/>
          <w:sz w:val="24"/>
          <w:szCs w:val="24"/>
        </w:rPr>
        <w:t>.</w:t>
      </w:r>
      <w:r w:rsidR="008C53A6" w:rsidRPr="00842FE5">
        <w:rPr>
          <w:rFonts w:ascii="Times New Roman" w:hAnsi="Times New Roman" w:cs="Times New Roman"/>
          <w:color w:val="0D0D0D" w:themeColor="text1" w:themeTint="F2"/>
          <w:sz w:val="24"/>
          <w:szCs w:val="24"/>
        </w:rPr>
        <w:t xml:space="preserve"> </w:t>
      </w:r>
      <w:r w:rsidR="00216A5D" w:rsidRPr="00842FE5">
        <w:rPr>
          <w:rFonts w:ascii="Times New Roman" w:hAnsi="Times New Roman" w:cs="Times New Roman"/>
          <w:color w:val="0D0D0D" w:themeColor="text1" w:themeTint="F2"/>
          <w:sz w:val="24"/>
          <w:szCs w:val="24"/>
        </w:rPr>
        <w:t>I</w:t>
      </w:r>
      <w:r w:rsidR="00E140EB" w:rsidRPr="00842FE5">
        <w:rPr>
          <w:rFonts w:ascii="Times New Roman" w:hAnsi="Times New Roman" w:cs="Times New Roman"/>
          <w:color w:val="0D0D0D" w:themeColor="text1" w:themeTint="F2"/>
          <w:sz w:val="24"/>
          <w:szCs w:val="24"/>
        </w:rPr>
        <w:t xml:space="preserve">n </w:t>
      </w:r>
      <w:r w:rsidR="006F0047" w:rsidRPr="00842FE5">
        <w:rPr>
          <w:rFonts w:ascii="Times New Roman" w:hAnsi="Times New Roman" w:cs="Times New Roman"/>
          <w:color w:val="0D0D0D" w:themeColor="text1" w:themeTint="F2"/>
          <w:sz w:val="24"/>
          <w:szCs w:val="24"/>
        </w:rPr>
        <w:t xml:space="preserve">the </w:t>
      </w:r>
      <w:r w:rsidR="00E140EB" w:rsidRPr="00842FE5">
        <w:rPr>
          <w:rFonts w:ascii="Times New Roman" w:hAnsi="Times New Roman" w:cs="Times New Roman"/>
          <w:color w:val="0D0D0D" w:themeColor="text1" w:themeTint="F2"/>
          <w:sz w:val="24"/>
          <w:szCs w:val="24"/>
        </w:rPr>
        <w:t>EDITION</w:t>
      </w:r>
      <w:r w:rsidR="00B26BD0" w:rsidRPr="00842FE5">
        <w:rPr>
          <w:rFonts w:ascii="Times New Roman" w:hAnsi="Times New Roman" w:cs="Times New Roman"/>
          <w:color w:val="0D0D0D" w:themeColor="text1" w:themeTint="F2"/>
          <w:sz w:val="24"/>
          <w:szCs w:val="24"/>
        </w:rPr>
        <w:t xml:space="preserve"> </w:t>
      </w:r>
      <w:r w:rsidR="00E140EB" w:rsidRPr="00842FE5">
        <w:rPr>
          <w:rFonts w:ascii="Times New Roman" w:hAnsi="Times New Roman" w:cs="Times New Roman"/>
          <w:color w:val="0D0D0D" w:themeColor="text1" w:themeTint="F2"/>
          <w:sz w:val="24"/>
          <w:szCs w:val="24"/>
        </w:rPr>
        <w:t xml:space="preserve">2 </w:t>
      </w:r>
      <w:r w:rsidR="007647FF" w:rsidRPr="00842FE5">
        <w:rPr>
          <w:rFonts w:ascii="Times New Roman" w:hAnsi="Times New Roman" w:cs="Times New Roman"/>
          <w:color w:val="0D0D0D" w:themeColor="text1" w:themeTint="F2"/>
          <w:sz w:val="24"/>
          <w:szCs w:val="24"/>
        </w:rPr>
        <w:t>and TRANS</w:t>
      </w:r>
      <w:r w:rsidR="00CA7B38" w:rsidRPr="00842FE5">
        <w:rPr>
          <w:rFonts w:ascii="Times New Roman" w:hAnsi="Times New Roman" w:cs="Times New Roman"/>
          <w:color w:val="0D0D0D" w:themeColor="text1" w:themeTint="F2"/>
          <w:sz w:val="24"/>
          <w:szCs w:val="24"/>
        </w:rPr>
        <w:t>I</w:t>
      </w:r>
      <w:r w:rsidR="007647FF" w:rsidRPr="00842FE5">
        <w:rPr>
          <w:rFonts w:ascii="Times New Roman" w:hAnsi="Times New Roman" w:cs="Times New Roman"/>
          <w:color w:val="0D0D0D" w:themeColor="text1" w:themeTint="F2"/>
          <w:sz w:val="24"/>
          <w:szCs w:val="24"/>
        </w:rPr>
        <w:t xml:space="preserve">TION 2 </w:t>
      </w:r>
      <w:r w:rsidR="00E140EB" w:rsidRPr="00842FE5">
        <w:rPr>
          <w:rFonts w:ascii="Times New Roman" w:hAnsi="Times New Roman" w:cs="Times New Roman"/>
          <w:color w:val="0D0D0D" w:themeColor="text1" w:themeTint="F2"/>
          <w:sz w:val="24"/>
          <w:szCs w:val="24"/>
        </w:rPr>
        <w:t>stud</w:t>
      </w:r>
      <w:r w:rsidR="007647FF" w:rsidRPr="00842FE5">
        <w:rPr>
          <w:rFonts w:ascii="Times New Roman" w:hAnsi="Times New Roman" w:cs="Times New Roman"/>
          <w:color w:val="0D0D0D" w:themeColor="text1" w:themeTint="F2"/>
          <w:sz w:val="24"/>
          <w:szCs w:val="24"/>
        </w:rPr>
        <w:t>ies,</w:t>
      </w:r>
      <w:r w:rsidR="00E140EB" w:rsidRPr="00842FE5">
        <w:rPr>
          <w:rFonts w:ascii="Times New Roman" w:hAnsi="Times New Roman" w:cs="Times New Roman"/>
          <w:color w:val="0D0D0D" w:themeColor="text1" w:themeTint="F2"/>
          <w:sz w:val="24"/>
          <w:szCs w:val="24"/>
        </w:rPr>
        <w:t xml:space="preserve"> nocturnal hypoglycaemia was defined by</w:t>
      </w:r>
      <w:r w:rsidR="003E0899" w:rsidRPr="00842FE5">
        <w:rPr>
          <w:rFonts w:ascii="Times New Roman" w:hAnsi="Times New Roman" w:cs="Times New Roman"/>
          <w:color w:val="0D0D0D" w:themeColor="text1" w:themeTint="F2"/>
          <w:sz w:val="24"/>
          <w:szCs w:val="24"/>
        </w:rPr>
        <w:t xml:space="preserve"> </w:t>
      </w:r>
      <w:r w:rsidR="00B06D50" w:rsidRPr="00842FE5">
        <w:rPr>
          <w:rFonts w:ascii="Times New Roman" w:hAnsi="Times New Roman" w:cs="Times New Roman"/>
          <w:color w:val="0D0D0D" w:themeColor="text1" w:themeTint="F2"/>
          <w:sz w:val="24"/>
          <w:szCs w:val="24"/>
        </w:rPr>
        <w:t>hypoglyc</w:t>
      </w:r>
      <w:r w:rsidR="00C17044" w:rsidRPr="00842FE5">
        <w:rPr>
          <w:rFonts w:ascii="Times New Roman" w:hAnsi="Times New Roman" w:cs="Times New Roman"/>
          <w:color w:val="0D0D0D" w:themeColor="text1" w:themeTint="F2"/>
          <w:sz w:val="24"/>
          <w:szCs w:val="24"/>
        </w:rPr>
        <w:t>a</w:t>
      </w:r>
      <w:r w:rsidR="00B06D50" w:rsidRPr="00842FE5">
        <w:rPr>
          <w:rFonts w:ascii="Times New Roman" w:hAnsi="Times New Roman" w:cs="Times New Roman"/>
          <w:color w:val="0D0D0D" w:themeColor="text1" w:themeTint="F2"/>
          <w:sz w:val="24"/>
          <w:szCs w:val="24"/>
        </w:rPr>
        <w:t>emic events occurr</w:t>
      </w:r>
      <w:r w:rsidR="006A478E" w:rsidRPr="00842FE5">
        <w:rPr>
          <w:rFonts w:ascii="Times New Roman" w:hAnsi="Times New Roman" w:cs="Times New Roman"/>
          <w:color w:val="0D0D0D" w:themeColor="text1" w:themeTint="F2"/>
          <w:sz w:val="24"/>
          <w:szCs w:val="24"/>
        </w:rPr>
        <w:t>ing</w:t>
      </w:r>
      <w:r w:rsidR="00C17044" w:rsidRPr="00842FE5">
        <w:rPr>
          <w:rFonts w:ascii="Times New Roman" w:hAnsi="Times New Roman" w:cs="Times New Roman"/>
          <w:color w:val="0D0D0D" w:themeColor="text1" w:themeTint="F2"/>
          <w:sz w:val="24"/>
          <w:szCs w:val="24"/>
        </w:rPr>
        <w:t xml:space="preserve"> </w:t>
      </w:r>
      <w:r w:rsidR="00B06D50" w:rsidRPr="00842FE5">
        <w:rPr>
          <w:rFonts w:ascii="Times New Roman" w:hAnsi="Times New Roman" w:cs="Times New Roman"/>
          <w:color w:val="0D0D0D" w:themeColor="text1" w:themeTint="F2"/>
          <w:sz w:val="24"/>
          <w:szCs w:val="24"/>
        </w:rPr>
        <w:t>during the night (00</w:t>
      </w:r>
      <w:r w:rsidR="000E0C27" w:rsidRPr="00842FE5">
        <w:rPr>
          <w:rFonts w:ascii="Times New Roman" w:hAnsi="Times New Roman" w:cs="Times New Roman"/>
          <w:color w:val="0D0D0D" w:themeColor="text1" w:themeTint="F2"/>
          <w:sz w:val="24"/>
          <w:szCs w:val="24"/>
        </w:rPr>
        <w:t>:</w:t>
      </w:r>
      <w:r w:rsidR="00B06D50" w:rsidRPr="00842FE5">
        <w:rPr>
          <w:rFonts w:ascii="Times New Roman" w:hAnsi="Times New Roman" w:cs="Times New Roman"/>
          <w:color w:val="0D0D0D" w:themeColor="text1" w:themeTint="F2"/>
          <w:sz w:val="24"/>
          <w:szCs w:val="24"/>
        </w:rPr>
        <w:t>00–05</w:t>
      </w:r>
      <w:r w:rsidR="000E0C27" w:rsidRPr="00842FE5">
        <w:rPr>
          <w:rFonts w:ascii="Times New Roman" w:hAnsi="Times New Roman" w:cs="Times New Roman"/>
          <w:color w:val="0D0D0D" w:themeColor="text1" w:themeTint="F2"/>
          <w:sz w:val="24"/>
          <w:szCs w:val="24"/>
        </w:rPr>
        <w:t>:</w:t>
      </w:r>
      <w:r w:rsidR="00B06D50" w:rsidRPr="00842FE5">
        <w:rPr>
          <w:rFonts w:ascii="Times New Roman" w:hAnsi="Times New Roman" w:cs="Times New Roman"/>
          <w:color w:val="0D0D0D" w:themeColor="text1" w:themeTint="F2"/>
          <w:sz w:val="24"/>
          <w:szCs w:val="24"/>
        </w:rPr>
        <w:t>59 h</w:t>
      </w:r>
      <w:r w:rsidR="00C17044" w:rsidRPr="00842FE5">
        <w:rPr>
          <w:rFonts w:ascii="Times New Roman" w:hAnsi="Times New Roman" w:cs="Times New Roman"/>
          <w:color w:val="0D0D0D" w:themeColor="text1" w:themeTint="F2"/>
          <w:sz w:val="24"/>
          <w:szCs w:val="24"/>
        </w:rPr>
        <w:t xml:space="preserve">) </w:t>
      </w:r>
      <w:r w:rsidR="000E0C27" w:rsidRPr="00842FE5">
        <w:rPr>
          <w:rFonts w:ascii="Times New Roman" w:hAnsi="Times New Roman" w:cs="Times New Roman"/>
          <w:color w:val="0D0D0D" w:themeColor="text1" w:themeTint="F2"/>
          <w:sz w:val="24"/>
          <w:szCs w:val="24"/>
        </w:rPr>
        <w:t>whereas</w:t>
      </w:r>
      <w:r w:rsidR="000D6088" w:rsidRPr="00842FE5">
        <w:rPr>
          <w:rFonts w:ascii="Times New Roman" w:hAnsi="Times New Roman" w:cs="Times New Roman"/>
          <w:color w:val="0D0D0D" w:themeColor="text1" w:themeTint="F2"/>
          <w:sz w:val="24"/>
          <w:szCs w:val="24"/>
        </w:rPr>
        <w:t>,</w:t>
      </w:r>
      <w:r w:rsidR="000E0C27" w:rsidRPr="00842FE5">
        <w:rPr>
          <w:rFonts w:ascii="Times New Roman" w:hAnsi="Times New Roman" w:cs="Times New Roman"/>
          <w:color w:val="0D0D0D" w:themeColor="text1" w:themeTint="F2"/>
          <w:sz w:val="24"/>
          <w:szCs w:val="24"/>
        </w:rPr>
        <w:t xml:space="preserve"> in </w:t>
      </w:r>
      <w:r w:rsidR="006F0047" w:rsidRPr="00842FE5">
        <w:rPr>
          <w:rFonts w:ascii="Times New Roman" w:hAnsi="Times New Roman" w:cs="Times New Roman"/>
          <w:color w:val="0D0D0D" w:themeColor="text1" w:themeTint="F2"/>
          <w:sz w:val="24"/>
          <w:szCs w:val="24"/>
        </w:rPr>
        <w:t xml:space="preserve">the </w:t>
      </w:r>
      <w:r w:rsidR="000E0C27" w:rsidRPr="00842FE5">
        <w:rPr>
          <w:rFonts w:ascii="Times New Roman" w:hAnsi="Times New Roman" w:cs="Times New Roman"/>
          <w:color w:val="0D0D0D" w:themeColor="text1" w:themeTint="F2"/>
          <w:sz w:val="24"/>
          <w:szCs w:val="24"/>
        </w:rPr>
        <w:t>ARTEMIS</w:t>
      </w:r>
      <w:r w:rsidR="000F442A" w:rsidRPr="00842FE5">
        <w:rPr>
          <w:rFonts w:ascii="Times New Roman" w:hAnsi="Times New Roman" w:cs="Times New Roman"/>
          <w:color w:val="0D0D0D" w:themeColor="text1" w:themeTint="F2"/>
          <w:sz w:val="24"/>
          <w:szCs w:val="24"/>
        </w:rPr>
        <w:t>-DM</w:t>
      </w:r>
      <w:r w:rsidR="000E0C27" w:rsidRPr="00842FE5">
        <w:rPr>
          <w:rFonts w:ascii="Times New Roman" w:hAnsi="Times New Roman" w:cs="Times New Roman"/>
          <w:color w:val="0D0D0D" w:themeColor="text1" w:themeTint="F2"/>
          <w:sz w:val="24"/>
          <w:szCs w:val="24"/>
        </w:rPr>
        <w:t xml:space="preserve"> study nocturnal hypoglycaemia was defined by the sleep status</w:t>
      </w:r>
      <w:r w:rsidR="006F0047" w:rsidRPr="00842FE5">
        <w:rPr>
          <w:rFonts w:ascii="Times New Roman" w:hAnsi="Times New Roman" w:cs="Times New Roman"/>
          <w:color w:val="0D0D0D" w:themeColor="text1" w:themeTint="F2"/>
          <w:sz w:val="24"/>
          <w:szCs w:val="24"/>
        </w:rPr>
        <w:t xml:space="preserve"> [19,</w:t>
      </w:r>
      <w:r w:rsidR="006D7925" w:rsidRPr="00842FE5">
        <w:rPr>
          <w:rFonts w:ascii="Times New Roman" w:hAnsi="Times New Roman" w:cs="Times New Roman"/>
          <w:color w:val="0D0D0D" w:themeColor="text1" w:themeTint="F2"/>
          <w:sz w:val="24"/>
          <w:szCs w:val="24"/>
        </w:rPr>
        <w:t xml:space="preserve"> </w:t>
      </w:r>
      <w:r w:rsidR="006F0047" w:rsidRPr="00842FE5">
        <w:rPr>
          <w:rFonts w:ascii="Times New Roman" w:hAnsi="Times New Roman" w:cs="Times New Roman"/>
          <w:color w:val="0D0D0D" w:themeColor="text1" w:themeTint="F2"/>
          <w:sz w:val="24"/>
          <w:szCs w:val="24"/>
        </w:rPr>
        <w:t>20]</w:t>
      </w:r>
      <w:r w:rsidR="000C7CBD" w:rsidRPr="00842FE5">
        <w:rPr>
          <w:rFonts w:ascii="Times New Roman" w:hAnsi="Times New Roman" w:cs="Times New Roman"/>
          <w:color w:val="0D0D0D" w:themeColor="text1" w:themeTint="F2"/>
          <w:sz w:val="24"/>
          <w:szCs w:val="24"/>
        </w:rPr>
        <w:t>.</w:t>
      </w:r>
      <w:r w:rsidR="000E0C27" w:rsidRPr="00842FE5">
        <w:rPr>
          <w:rFonts w:ascii="Times New Roman" w:eastAsia="TimesNewRoman" w:hAnsi="Times New Roman" w:cs="Times New Roman"/>
          <w:color w:val="0D0D0D" w:themeColor="text1" w:themeTint="F2"/>
          <w:sz w:val="24"/>
          <w:szCs w:val="24"/>
          <w:lang w:val="en-IN"/>
        </w:rPr>
        <w:t xml:space="preserve"> </w:t>
      </w:r>
      <w:r w:rsidR="00515E64" w:rsidRPr="00842FE5">
        <w:rPr>
          <w:rFonts w:ascii="Times New Roman" w:hAnsi="Times New Roman" w:cs="Times New Roman"/>
          <w:color w:val="0D0D0D" w:themeColor="text1" w:themeTint="F2"/>
          <w:sz w:val="24"/>
          <w:szCs w:val="24"/>
        </w:rPr>
        <w:t xml:space="preserve">The </w:t>
      </w:r>
      <w:r w:rsidR="00F72122" w:rsidRPr="00842FE5">
        <w:rPr>
          <w:rFonts w:ascii="Times New Roman" w:hAnsi="Times New Roman" w:cs="Times New Roman"/>
          <w:color w:val="0D0D0D" w:themeColor="text1" w:themeTint="F2"/>
          <w:sz w:val="24"/>
          <w:szCs w:val="24"/>
        </w:rPr>
        <w:t xml:space="preserve">lower incidence </w:t>
      </w:r>
      <w:r w:rsidR="00B676A8" w:rsidRPr="00842FE5">
        <w:rPr>
          <w:rFonts w:ascii="Times New Roman" w:hAnsi="Times New Roman" w:cs="Times New Roman"/>
          <w:color w:val="0D0D0D" w:themeColor="text1" w:themeTint="F2"/>
          <w:sz w:val="24"/>
          <w:szCs w:val="24"/>
        </w:rPr>
        <w:t>of severe hypoglycaemia</w:t>
      </w:r>
      <w:r w:rsidR="008E2543" w:rsidRPr="00842FE5">
        <w:rPr>
          <w:rFonts w:ascii="Times New Roman" w:hAnsi="Times New Roman" w:cs="Times New Roman"/>
          <w:color w:val="0D0D0D" w:themeColor="text1" w:themeTint="F2"/>
          <w:sz w:val="24"/>
          <w:szCs w:val="24"/>
        </w:rPr>
        <w:t xml:space="preserve"> (n=1) </w:t>
      </w:r>
      <w:r w:rsidR="00B676A8" w:rsidRPr="00842FE5">
        <w:rPr>
          <w:rFonts w:ascii="Times New Roman" w:hAnsi="Times New Roman" w:cs="Times New Roman"/>
          <w:color w:val="0D0D0D" w:themeColor="text1" w:themeTint="F2"/>
          <w:sz w:val="24"/>
          <w:szCs w:val="24"/>
        </w:rPr>
        <w:t xml:space="preserve">and nocturnal hypoglycaemia </w:t>
      </w:r>
      <w:r w:rsidR="008E2543" w:rsidRPr="00842FE5">
        <w:rPr>
          <w:rFonts w:ascii="Times New Roman" w:hAnsi="Times New Roman" w:cs="Times New Roman"/>
          <w:color w:val="0D0D0D" w:themeColor="text1" w:themeTint="F2"/>
          <w:sz w:val="24"/>
          <w:szCs w:val="24"/>
        </w:rPr>
        <w:t xml:space="preserve">(n=35) </w:t>
      </w:r>
      <w:r w:rsidR="00475B81" w:rsidRPr="00842FE5">
        <w:rPr>
          <w:rFonts w:ascii="Times New Roman" w:hAnsi="Times New Roman" w:cs="Times New Roman"/>
          <w:color w:val="0D0D0D" w:themeColor="text1" w:themeTint="F2"/>
          <w:sz w:val="24"/>
          <w:szCs w:val="24"/>
        </w:rPr>
        <w:t xml:space="preserve">might </w:t>
      </w:r>
      <w:r w:rsidR="00992177" w:rsidRPr="00842FE5">
        <w:rPr>
          <w:rFonts w:ascii="Times New Roman" w:hAnsi="Times New Roman" w:cs="Times New Roman"/>
          <w:color w:val="0D0D0D" w:themeColor="text1" w:themeTint="F2"/>
          <w:sz w:val="24"/>
          <w:szCs w:val="24"/>
        </w:rPr>
        <w:t>be</w:t>
      </w:r>
      <w:r w:rsidR="000959E3" w:rsidRPr="00842FE5">
        <w:rPr>
          <w:rFonts w:ascii="Times New Roman" w:hAnsi="Times New Roman" w:cs="Times New Roman"/>
          <w:color w:val="0D0D0D" w:themeColor="text1" w:themeTint="F2"/>
          <w:sz w:val="24"/>
          <w:szCs w:val="24"/>
        </w:rPr>
        <w:t xml:space="preserve"> </w:t>
      </w:r>
      <w:r w:rsidR="00B246E6" w:rsidRPr="00842FE5">
        <w:rPr>
          <w:rFonts w:ascii="Times New Roman" w:hAnsi="Times New Roman" w:cs="Times New Roman"/>
          <w:color w:val="0D0D0D" w:themeColor="text1" w:themeTint="F2"/>
          <w:sz w:val="24"/>
          <w:szCs w:val="24"/>
        </w:rPr>
        <w:t>due to</w:t>
      </w:r>
      <w:r w:rsidR="00C24B76" w:rsidRPr="00842FE5">
        <w:rPr>
          <w:rFonts w:ascii="Times New Roman" w:hAnsi="Times New Roman" w:cs="Times New Roman"/>
          <w:color w:val="0D0D0D" w:themeColor="text1" w:themeTint="F2"/>
          <w:sz w:val="24"/>
          <w:szCs w:val="24"/>
        </w:rPr>
        <w:t xml:space="preserve"> lower </w:t>
      </w:r>
      <w:r w:rsidR="000959E3" w:rsidRPr="00842FE5">
        <w:rPr>
          <w:rFonts w:ascii="Times New Roman" w:hAnsi="Times New Roman" w:cs="Times New Roman"/>
          <w:color w:val="0D0D0D" w:themeColor="text1" w:themeTint="F2"/>
          <w:sz w:val="24"/>
          <w:szCs w:val="24"/>
        </w:rPr>
        <w:t xml:space="preserve">insulin </w:t>
      </w:r>
      <w:r w:rsidR="00BB2E8F" w:rsidRPr="00842FE5">
        <w:rPr>
          <w:rFonts w:ascii="Times New Roman" w:hAnsi="Times New Roman" w:cs="Times New Roman"/>
          <w:color w:val="0D0D0D" w:themeColor="text1" w:themeTint="F2"/>
          <w:sz w:val="24"/>
          <w:szCs w:val="24"/>
        </w:rPr>
        <w:t xml:space="preserve">dose and </w:t>
      </w:r>
      <w:r w:rsidR="000959E3" w:rsidRPr="00842FE5">
        <w:rPr>
          <w:rFonts w:ascii="Times New Roman" w:hAnsi="Times New Roman" w:cs="Times New Roman"/>
          <w:color w:val="0D0D0D" w:themeColor="text1" w:themeTint="F2"/>
          <w:sz w:val="24"/>
          <w:szCs w:val="24"/>
        </w:rPr>
        <w:t>titration</w:t>
      </w:r>
      <w:r w:rsidR="004809B4" w:rsidRPr="00842FE5">
        <w:rPr>
          <w:rFonts w:ascii="Times New Roman" w:hAnsi="Times New Roman" w:cs="Times New Roman"/>
          <w:color w:val="0D0D0D" w:themeColor="text1" w:themeTint="F2"/>
          <w:sz w:val="24"/>
          <w:szCs w:val="24"/>
        </w:rPr>
        <w:t>.</w:t>
      </w:r>
      <w:r w:rsidR="002E6891" w:rsidRPr="00842FE5">
        <w:rPr>
          <w:rFonts w:ascii="Times New Roman" w:hAnsi="Times New Roman" w:cs="Times New Roman"/>
          <w:color w:val="0D0D0D" w:themeColor="text1" w:themeTint="F2"/>
          <w:sz w:val="24"/>
          <w:szCs w:val="24"/>
        </w:rPr>
        <w:t xml:space="preserve"> </w:t>
      </w:r>
    </w:p>
    <w:p w14:paraId="6DA3223B" w14:textId="3327604C" w:rsidR="006F0FB7" w:rsidRPr="00842FE5" w:rsidRDefault="00AA65BA" w:rsidP="003858C4">
      <w:pPr>
        <w:tabs>
          <w:tab w:val="left" w:pos="709"/>
        </w:tabs>
        <w:spacing w:line="480" w:lineRule="auto"/>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Strength</w:t>
      </w:r>
      <w:r w:rsidR="00E4230D" w:rsidRPr="00842FE5">
        <w:rPr>
          <w:rFonts w:ascii="Times New Roman" w:hAnsi="Times New Roman" w:cs="Times New Roman"/>
          <w:color w:val="0D0D0D" w:themeColor="text1" w:themeTint="F2"/>
          <w:sz w:val="24"/>
          <w:szCs w:val="24"/>
        </w:rPr>
        <w:t>s</w:t>
      </w:r>
      <w:r w:rsidRPr="00842FE5">
        <w:rPr>
          <w:rFonts w:ascii="Times New Roman" w:hAnsi="Times New Roman" w:cs="Times New Roman"/>
          <w:color w:val="0D0D0D" w:themeColor="text1" w:themeTint="F2"/>
          <w:sz w:val="24"/>
          <w:szCs w:val="24"/>
        </w:rPr>
        <w:t xml:space="preserve"> </w:t>
      </w:r>
      <w:r w:rsidR="007149E9" w:rsidRPr="00842FE5">
        <w:rPr>
          <w:rFonts w:ascii="Times New Roman" w:hAnsi="Times New Roman" w:cs="Times New Roman"/>
          <w:color w:val="0D0D0D" w:themeColor="text1" w:themeTint="F2"/>
          <w:sz w:val="24"/>
          <w:szCs w:val="24"/>
        </w:rPr>
        <w:t xml:space="preserve">of this study include </w:t>
      </w:r>
      <w:r w:rsidR="006C7E9D" w:rsidRPr="00842FE5">
        <w:rPr>
          <w:rFonts w:ascii="Times New Roman" w:hAnsi="Times New Roman" w:cs="Times New Roman"/>
          <w:color w:val="0D0D0D" w:themeColor="text1" w:themeTint="F2"/>
          <w:sz w:val="24"/>
          <w:szCs w:val="24"/>
        </w:rPr>
        <w:t>its</w:t>
      </w:r>
      <w:r w:rsidR="007149E9" w:rsidRPr="00842FE5">
        <w:rPr>
          <w:rFonts w:ascii="Times New Roman" w:hAnsi="Times New Roman" w:cs="Times New Roman"/>
          <w:color w:val="0D0D0D" w:themeColor="text1" w:themeTint="F2"/>
          <w:sz w:val="24"/>
          <w:szCs w:val="24"/>
        </w:rPr>
        <w:t xml:space="preserve"> large</w:t>
      </w:r>
      <w:r w:rsidR="00871F47" w:rsidRPr="00842FE5">
        <w:rPr>
          <w:rFonts w:ascii="Times New Roman" w:hAnsi="Times New Roman" w:cs="Times New Roman"/>
          <w:color w:val="0D0D0D" w:themeColor="text1" w:themeTint="F2"/>
          <w:sz w:val="24"/>
          <w:szCs w:val="24"/>
        </w:rPr>
        <w:t xml:space="preserve">, diverse </w:t>
      </w:r>
      <w:r w:rsidR="007149E9" w:rsidRPr="00842FE5">
        <w:rPr>
          <w:rFonts w:ascii="Times New Roman" w:hAnsi="Times New Roman" w:cs="Times New Roman"/>
          <w:color w:val="0D0D0D" w:themeColor="text1" w:themeTint="F2"/>
          <w:sz w:val="24"/>
          <w:szCs w:val="24"/>
        </w:rPr>
        <w:t>population from wide geographic regions</w:t>
      </w:r>
      <w:r w:rsidR="000929E7" w:rsidRPr="00842FE5">
        <w:rPr>
          <w:rFonts w:ascii="Times New Roman" w:hAnsi="Times New Roman" w:cs="Times New Roman"/>
          <w:color w:val="0D0D0D" w:themeColor="text1" w:themeTint="F2"/>
          <w:sz w:val="24"/>
          <w:szCs w:val="24"/>
        </w:rPr>
        <w:t xml:space="preserve"> with long</w:t>
      </w:r>
      <w:r w:rsidR="00044E88" w:rsidRPr="00842FE5">
        <w:rPr>
          <w:rFonts w:ascii="Times New Roman" w:hAnsi="Times New Roman" w:cs="Times New Roman"/>
          <w:color w:val="0D0D0D" w:themeColor="text1" w:themeTint="F2"/>
          <w:sz w:val="24"/>
          <w:szCs w:val="24"/>
        </w:rPr>
        <w:t>er</w:t>
      </w:r>
      <w:r w:rsidR="000929E7" w:rsidRPr="00842FE5">
        <w:rPr>
          <w:rFonts w:ascii="Times New Roman" w:hAnsi="Times New Roman" w:cs="Times New Roman"/>
          <w:color w:val="0D0D0D" w:themeColor="text1" w:themeTint="F2"/>
          <w:sz w:val="24"/>
          <w:szCs w:val="24"/>
        </w:rPr>
        <w:t xml:space="preserve"> duration of diabetes </w:t>
      </w:r>
      <w:r w:rsidR="00043BED" w:rsidRPr="00842FE5">
        <w:rPr>
          <w:rFonts w:ascii="Times New Roman" w:hAnsi="Times New Roman" w:cs="Times New Roman"/>
          <w:color w:val="0D0D0D" w:themeColor="text1" w:themeTint="F2"/>
          <w:sz w:val="24"/>
          <w:szCs w:val="24"/>
        </w:rPr>
        <w:t xml:space="preserve">uncontrolled on </w:t>
      </w:r>
      <w:r w:rsidR="00E12861" w:rsidRPr="00842FE5">
        <w:rPr>
          <w:rFonts w:ascii="Times New Roman" w:hAnsi="Times New Roman" w:cs="Times New Roman"/>
          <w:color w:val="0D0D0D" w:themeColor="text1" w:themeTint="F2"/>
          <w:sz w:val="24"/>
          <w:szCs w:val="24"/>
        </w:rPr>
        <w:t>BI</w:t>
      </w:r>
      <w:r w:rsidR="00043BED" w:rsidRPr="00842FE5">
        <w:rPr>
          <w:rFonts w:ascii="Times New Roman" w:hAnsi="Times New Roman" w:cs="Times New Roman"/>
          <w:color w:val="0D0D0D" w:themeColor="text1" w:themeTint="F2"/>
          <w:sz w:val="24"/>
          <w:szCs w:val="24"/>
        </w:rPr>
        <w:t xml:space="preserve">. </w:t>
      </w:r>
      <w:r w:rsidR="00946C62" w:rsidRPr="00842FE5">
        <w:rPr>
          <w:rFonts w:ascii="Times New Roman" w:hAnsi="Times New Roman" w:cs="Times New Roman"/>
          <w:color w:val="0D0D0D" w:themeColor="text1" w:themeTint="F2"/>
          <w:sz w:val="24"/>
          <w:szCs w:val="24"/>
        </w:rPr>
        <w:t xml:space="preserve">The </w:t>
      </w:r>
      <w:r w:rsidR="003E6A7F" w:rsidRPr="00842FE5">
        <w:rPr>
          <w:rFonts w:ascii="Times New Roman" w:hAnsi="Times New Roman" w:cs="Times New Roman"/>
          <w:color w:val="0D0D0D" w:themeColor="text1" w:themeTint="F2"/>
          <w:sz w:val="24"/>
          <w:szCs w:val="24"/>
        </w:rPr>
        <w:t xml:space="preserve">pre-defined </w:t>
      </w:r>
      <w:r w:rsidR="00A60905" w:rsidRPr="00842FE5">
        <w:rPr>
          <w:rFonts w:ascii="Times New Roman" w:hAnsi="Times New Roman" w:cs="Times New Roman"/>
          <w:color w:val="0D0D0D" w:themeColor="text1" w:themeTint="F2"/>
          <w:sz w:val="24"/>
          <w:szCs w:val="24"/>
        </w:rPr>
        <w:t xml:space="preserve">titration algorithm </w:t>
      </w:r>
      <w:r w:rsidR="00CB056F" w:rsidRPr="00842FE5">
        <w:rPr>
          <w:rFonts w:ascii="Times New Roman" w:hAnsi="Times New Roman" w:cs="Times New Roman"/>
          <w:color w:val="0D0D0D" w:themeColor="text1" w:themeTint="F2"/>
          <w:sz w:val="24"/>
          <w:szCs w:val="24"/>
        </w:rPr>
        <w:t xml:space="preserve">used </w:t>
      </w:r>
      <w:r w:rsidR="007B12F9" w:rsidRPr="00842FE5">
        <w:rPr>
          <w:rFonts w:ascii="Times New Roman" w:hAnsi="Times New Roman" w:cs="Times New Roman"/>
          <w:color w:val="0D0D0D" w:themeColor="text1" w:themeTint="F2"/>
          <w:sz w:val="24"/>
          <w:szCs w:val="24"/>
        </w:rPr>
        <w:t xml:space="preserve">in </w:t>
      </w:r>
      <w:r w:rsidR="003E2610" w:rsidRPr="00842FE5">
        <w:rPr>
          <w:rFonts w:ascii="Times New Roman" w:hAnsi="Times New Roman" w:cs="Times New Roman"/>
          <w:color w:val="0D0D0D" w:themeColor="text1" w:themeTint="F2"/>
          <w:sz w:val="24"/>
          <w:szCs w:val="24"/>
        </w:rPr>
        <w:t xml:space="preserve">the </w:t>
      </w:r>
      <w:r w:rsidR="007B12F9" w:rsidRPr="00842FE5">
        <w:rPr>
          <w:rFonts w:ascii="Times New Roman" w:hAnsi="Times New Roman" w:cs="Times New Roman"/>
          <w:color w:val="0D0D0D" w:themeColor="text1" w:themeTint="F2"/>
          <w:sz w:val="24"/>
          <w:szCs w:val="24"/>
        </w:rPr>
        <w:t>ARTEMIS</w:t>
      </w:r>
      <w:r w:rsidR="00E63A5B" w:rsidRPr="00842FE5">
        <w:rPr>
          <w:rFonts w:ascii="Times New Roman" w:hAnsi="Times New Roman" w:cs="Times New Roman"/>
          <w:color w:val="0D0D0D" w:themeColor="text1" w:themeTint="F2"/>
          <w:sz w:val="24"/>
          <w:szCs w:val="24"/>
        </w:rPr>
        <w:t>-DM</w:t>
      </w:r>
      <w:r w:rsidR="00CB056F" w:rsidRPr="00842FE5">
        <w:rPr>
          <w:rFonts w:ascii="Times New Roman" w:hAnsi="Times New Roman" w:cs="Times New Roman"/>
          <w:color w:val="0D0D0D" w:themeColor="text1" w:themeTint="F2"/>
          <w:sz w:val="24"/>
          <w:szCs w:val="24"/>
        </w:rPr>
        <w:t xml:space="preserve"> study </w:t>
      </w:r>
      <w:r w:rsidR="007B12F9" w:rsidRPr="00842FE5">
        <w:rPr>
          <w:rFonts w:ascii="Times New Roman" w:hAnsi="Times New Roman" w:cs="Times New Roman"/>
          <w:color w:val="0D0D0D" w:themeColor="text1" w:themeTint="F2"/>
          <w:sz w:val="24"/>
          <w:szCs w:val="24"/>
        </w:rPr>
        <w:t>may</w:t>
      </w:r>
      <w:r w:rsidR="00ED4F60" w:rsidRPr="00842FE5">
        <w:rPr>
          <w:rFonts w:ascii="Times New Roman" w:hAnsi="Times New Roman" w:cs="Times New Roman"/>
          <w:color w:val="0D0D0D" w:themeColor="text1" w:themeTint="F2"/>
          <w:sz w:val="24"/>
          <w:szCs w:val="24"/>
        </w:rPr>
        <w:t xml:space="preserve"> </w:t>
      </w:r>
      <w:r w:rsidR="00F40D31" w:rsidRPr="00842FE5">
        <w:rPr>
          <w:rFonts w:ascii="Times New Roman" w:hAnsi="Times New Roman" w:cs="Times New Roman"/>
          <w:color w:val="0D0D0D" w:themeColor="text1" w:themeTint="F2"/>
          <w:sz w:val="24"/>
          <w:szCs w:val="24"/>
        </w:rPr>
        <w:t xml:space="preserve">have facilitated </w:t>
      </w:r>
      <w:r w:rsidR="00526C8F" w:rsidRPr="00842FE5">
        <w:rPr>
          <w:rFonts w:ascii="Times New Roman" w:hAnsi="Times New Roman" w:cs="Times New Roman"/>
          <w:color w:val="0D0D0D" w:themeColor="text1" w:themeTint="F2"/>
          <w:sz w:val="24"/>
          <w:szCs w:val="24"/>
        </w:rPr>
        <w:t xml:space="preserve">good </w:t>
      </w:r>
      <w:r w:rsidR="00ED4F60" w:rsidRPr="00842FE5">
        <w:rPr>
          <w:rFonts w:ascii="Times New Roman" w:hAnsi="Times New Roman" w:cs="Times New Roman"/>
          <w:color w:val="0D0D0D" w:themeColor="text1" w:themeTint="F2"/>
          <w:sz w:val="24"/>
          <w:szCs w:val="24"/>
        </w:rPr>
        <w:t xml:space="preserve">insulin </w:t>
      </w:r>
      <w:r w:rsidR="00D00F3E" w:rsidRPr="00842FE5">
        <w:rPr>
          <w:rFonts w:ascii="Times New Roman" w:hAnsi="Times New Roman" w:cs="Times New Roman"/>
          <w:color w:val="0D0D0D" w:themeColor="text1" w:themeTint="F2"/>
          <w:sz w:val="24"/>
          <w:szCs w:val="24"/>
        </w:rPr>
        <w:t xml:space="preserve">titration </w:t>
      </w:r>
      <w:r w:rsidR="00ED4F60" w:rsidRPr="00842FE5">
        <w:rPr>
          <w:rFonts w:ascii="Times New Roman" w:hAnsi="Times New Roman" w:cs="Times New Roman"/>
          <w:color w:val="0D0D0D" w:themeColor="text1" w:themeTint="F2"/>
          <w:sz w:val="24"/>
          <w:szCs w:val="24"/>
        </w:rPr>
        <w:t xml:space="preserve">and attainment of </w:t>
      </w:r>
      <w:r w:rsidR="0075260D" w:rsidRPr="00842FE5">
        <w:rPr>
          <w:rFonts w:ascii="Times New Roman" w:hAnsi="Times New Roman" w:cs="Times New Roman"/>
          <w:color w:val="0D0D0D" w:themeColor="text1" w:themeTint="F2"/>
          <w:sz w:val="24"/>
          <w:szCs w:val="24"/>
        </w:rPr>
        <w:t xml:space="preserve">the observed </w:t>
      </w:r>
      <w:r w:rsidR="00C428C4" w:rsidRPr="00842FE5">
        <w:rPr>
          <w:rFonts w:ascii="Times New Roman" w:hAnsi="Times New Roman" w:cs="Times New Roman"/>
          <w:color w:val="0D0D0D" w:themeColor="text1" w:themeTint="F2"/>
          <w:sz w:val="24"/>
          <w:szCs w:val="24"/>
        </w:rPr>
        <w:t>glycaemic improvements</w:t>
      </w:r>
      <w:r w:rsidR="00BD0E68" w:rsidRPr="00842FE5">
        <w:rPr>
          <w:rFonts w:ascii="Times New Roman" w:hAnsi="Times New Roman" w:cs="Times New Roman"/>
          <w:color w:val="0D0D0D" w:themeColor="text1" w:themeTint="F2"/>
          <w:sz w:val="24"/>
          <w:szCs w:val="24"/>
        </w:rPr>
        <w:t>.</w:t>
      </w:r>
      <w:r w:rsidR="006F5A5E" w:rsidRPr="00842FE5">
        <w:rPr>
          <w:rFonts w:ascii="Times New Roman" w:hAnsi="Times New Roman" w:cs="Times New Roman"/>
          <w:color w:val="0D0D0D" w:themeColor="text1" w:themeTint="F2"/>
          <w:sz w:val="24"/>
          <w:szCs w:val="24"/>
        </w:rPr>
        <w:t xml:space="preserve"> However, the starting </w:t>
      </w:r>
      <w:r w:rsidR="00D5476C">
        <w:rPr>
          <w:rFonts w:ascii="Times New Roman" w:hAnsi="Times New Roman" w:cs="Times New Roman"/>
          <w:color w:val="0D0D0D" w:themeColor="text1" w:themeTint="F2"/>
          <w:sz w:val="24"/>
          <w:szCs w:val="24"/>
        </w:rPr>
        <w:t xml:space="preserve">dose of </w:t>
      </w:r>
      <w:r w:rsidR="00715170" w:rsidRPr="00842FE5">
        <w:rPr>
          <w:rFonts w:ascii="Times New Roman" w:hAnsi="Times New Roman" w:cs="Times New Roman"/>
          <w:color w:val="0D0D0D" w:themeColor="text1" w:themeTint="F2"/>
          <w:sz w:val="24"/>
          <w:szCs w:val="24"/>
        </w:rPr>
        <w:t xml:space="preserve">Gla-300 </w:t>
      </w:r>
      <w:r w:rsidR="006F5A5E" w:rsidRPr="00842FE5">
        <w:rPr>
          <w:rFonts w:ascii="Times New Roman" w:hAnsi="Times New Roman" w:cs="Times New Roman"/>
          <w:color w:val="0D0D0D" w:themeColor="text1" w:themeTint="F2"/>
          <w:sz w:val="24"/>
          <w:szCs w:val="24"/>
        </w:rPr>
        <w:t xml:space="preserve">and </w:t>
      </w:r>
      <w:r w:rsidR="00715170" w:rsidRPr="00842FE5">
        <w:rPr>
          <w:rFonts w:ascii="Times New Roman" w:hAnsi="Times New Roman" w:cs="Times New Roman"/>
          <w:color w:val="0D0D0D" w:themeColor="text1" w:themeTint="F2"/>
          <w:sz w:val="24"/>
          <w:szCs w:val="24"/>
        </w:rPr>
        <w:t xml:space="preserve">magnitude of titration were low compared </w:t>
      </w:r>
      <w:r w:rsidR="00EF080E" w:rsidRPr="00842FE5">
        <w:rPr>
          <w:rFonts w:ascii="Times New Roman" w:hAnsi="Times New Roman" w:cs="Times New Roman"/>
          <w:color w:val="0D0D0D" w:themeColor="text1" w:themeTint="F2"/>
          <w:sz w:val="24"/>
          <w:szCs w:val="24"/>
        </w:rPr>
        <w:t xml:space="preserve">with that in </w:t>
      </w:r>
      <w:r w:rsidR="00715170" w:rsidRPr="00842FE5">
        <w:rPr>
          <w:rFonts w:ascii="Times New Roman" w:hAnsi="Times New Roman" w:cs="Times New Roman"/>
          <w:color w:val="0D0D0D" w:themeColor="text1" w:themeTint="F2"/>
          <w:sz w:val="24"/>
          <w:szCs w:val="24"/>
        </w:rPr>
        <w:t xml:space="preserve">previous </w:t>
      </w:r>
      <w:r w:rsidR="00773617" w:rsidRPr="00842FE5">
        <w:rPr>
          <w:rFonts w:ascii="Times New Roman" w:hAnsi="Times New Roman" w:cs="Times New Roman"/>
          <w:color w:val="0D0D0D" w:themeColor="text1" w:themeTint="F2"/>
          <w:sz w:val="24"/>
          <w:szCs w:val="24"/>
        </w:rPr>
        <w:t>RCTs,</w:t>
      </w:r>
      <w:r w:rsidR="007214B0" w:rsidRPr="00842FE5">
        <w:rPr>
          <w:rFonts w:ascii="Times New Roman" w:hAnsi="Times New Roman" w:cs="Times New Roman"/>
          <w:color w:val="0D0D0D" w:themeColor="text1" w:themeTint="F2"/>
          <w:sz w:val="24"/>
          <w:szCs w:val="24"/>
        </w:rPr>
        <w:t xml:space="preserve"> suggesting that further </w:t>
      </w:r>
      <w:r w:rsidR="00E654FB" w:rsidRPr="00842FE5">
        <w:rPr>
          <w:rFonts w:ascii="Times New Roman" w:hAnsi="Times New Roman" w:cs="Times New Roman"/>
          <w:color w:val="0D0D0D" w:themeColor="text1" w:themeTint="F2"/>
          <w:sz w:val="24"/>
          <w:szCs w:val="24"/>
        </w:rPr>
        <w:t xml:space="preserve">dose increments could be achieved </w:t>
      </w:r>
      <w:r w:rsidR="00B06E61" w:rsidRPr="00842FE5">
        <w:rPr>
          <w:rFonts w:ascii="Times New Roman" w:hAnsi="Times New Roman" w:cs="Times New Roman"/>
          <w:color w:val="0D0D0D" w:themeColor="text1" w:themeTint="F2"/>
          <w:sz w:val="24"/>
          <w:szCs w:val="24"/>
        </w:rPr>
        <w:t xml:space="preserve">without any </w:t>
      </w:r>
      <w:r w:rsidR="00D15F45" w:rsidRPr="00842FE5">
        <w:rPr>
          <w:rFonts w:ascii="Times New Roman" w:hAnsi="Times New Roman" w:cs="Times New Roman"/>
          <w:color w:val="0D0D0D" w:themeColor="text1" w:themeTint="F2"/>
          <w:sz w:val="24"/>
          <w:szCs w:val="24"/>
        </w:rPr>
        <w:t xml:space="preserve">significant </w:t>
      </w:r>
      <w:r w:rsidR="00137ABA" w:rsidRPr="00842FE5">
        <w:rPr>
          <w:rFonts w:ascii="Times New Roman" w:hAnsi="Times New Roman" w:cs="Times New Roman"/>
          <w:color w:val="0D0D0D" w:themeColor="text1" w:themeTint="F2"/>
          <w:sz w:val="24"/>
          <w:szCs w:val="24"/>
        </w:rPr>
        <w:t>safety concerns</w:t>
      </w:r>
      <w:r w:rsidR="007B490D" w:rsidRPr="00842FE5">
        <w:rPr>
          <w:rFonts w:ascii="Times New Roman" w:hAnsi="Times New Roman" w:cs="Times New Roman"/>
          <w:color w:val="0D0D0D" w:themeColor="text1" w:themeTint="F2"/>
          <w:sz w:val="24"/>
          <w:szCs w:val="24"/>
        </w:rPr>
        <w:t>.</w:t>
      </w:r>
      <w:r w:rsidR="00BD0E68" w:rsidRPr="00842FE5">
        <w:rPr>
          <w:rFonts w:ascii="Times New Roman" w:hAnsi="Times New Roman" w:cs="Times New Roman"/>
          <w:color w:val="0D0D0D" w:themeColor="text1" w:themeTint="F2"/>
          <w:sz w:val="24"/>
          <w:szCs w:val="24"/>
        </w:rPr>
        <w:t xml:space="preserve"> </w:t>
      </w:r>
      <w:r w:rsidR="00B30553">
        <w:rPr>
          <w:rFonts w:ascii="Times New Roman" w:hAnsi="Times New Roman" w:cs="Times New Roman"/>
          <w:color w:val="0D0D0D" w:themeColor="text1" w:themeTint="F2"/>
          <w:sz w:val="24"/>
          <w:szCs w:val="24"/>
        </w:rPr>
        <w:t xml:space="preserve">The </w:t>
      </w:r>
      <w:r w:rsidR="00B95104">
        <w:rPr>
          <w:rFonts w:ascii="Times New Roman" w:hAnsi="Times New Roman" w:cs="Times New Roman"/>
          <w:color w:val="0D0D0D" w:themeColor="text1" w:themeTint="F2"/>
          <w:sz w:val="24"/>
          <w:szCs w:val="24"/>
        </w:rPr>
        <w:t>frequen</w:t>
      </w:r>
      <w:r w:rsidR="00B30553">
        <w:rPr>
          <w:rFonts w:ascii="Times New Roman" w:hAnsi="Times New Roman" w:cs="Times New Roman"/>
          <w:color w:val="0D0D0D" w:themeColor="text1" w:themeTint="F2"/>
          <w:sz w:val="24"/>
          <w:szCs w:val="24"/>
        </w:rPr>
        <w:t>t follow ups during the study period (six onsite visits and five contacts</w:t>
      </w:r>
      <w:r w:rsidR="00273032">
        <w:rPr>
          <w:rFonts w:ascii="Times New Roman" w:hAnsi="Times New Roman" w:cs="Times New Roman"/>
          <w:color w:val="0D0D0D" w:themeColor="text1" w:themeTint="F2"/>
          <w:sz w:val="24"/>
          <w:szCs w:val="24"/>
        </w:rPr>
        <w:t xml:space="preserve"> via telephone</w:t>
      </w:r>
      <w:r w:rsidR="00B30553">
        <w:rPr>
          <w:rFonts w:ascii="Times New Roman" w:hAnsi="Times New Roman" w:cs="Times New Roman"/>
          <w:color w:val="0D0D0D" w:themeColor="text1" w:themeTint="F2"/>
          <w:sz w:val="24"/>
          <w:szCs w:val="24"/>
        </w:rPr>
        <w:t xml:space="preserve">) </w:t>
      </w:r>
      <w:r w:rsidR="00B275A6">
        <w:rPr>
          <w:rFonts w:ascii="Times New Roman" w:hAnsi="Times New Roman" w:cs="Times New Roman"/>
          <w:color w:val="0D0D0D" w:themeColor="text1" w:themeTint="F2"/>
          <w:sz w:val="24"/>
          <w:szCs w:val="24"/>
        </w:rPr>
        <w:t>may have had an imp</w:t>
      </w:r>
      <w:r w:rsidR="00B412BB">
        <w:rPr>
          <w:rFonts w:ascii="Times New Roman" w:hAnsi="Times New Roman" w:cs="Times New Roman"/>
          <w:color w:val="0D0D0D" w:themeColor="text1" w:themeTint="F2"/>
          <w:sz w:val="24"/>
          <w:szCs w:val="24"/>
        </w:rPr>
        <w:t xml:space="preserve">act on the study outcomes. Regular </w:t>
      </w:r>
      <w:r w:rsidR="00A53F5A">
        <w:rPr>
          <w:rFonts w:ascii="Times New Roman" w:hAnsi="Times New Roman" w:cs="Times New Roman"/>
          <w:color w:val="0D0D0D" w:themeColor="text1" w:themeTint="F2"/>
          <w:sz w:val="24"/>
          <w:szCs w:val="24"/>
        </w:rPr>
        <w:t xml:space="preserve">study </w:t>
      </w:r>
      <w:r w:rsidR="00B412BB">
        <w:rPr>
          <w:rFonts w:ascii="Times New Roman" w:hAnsi="Times New Roman" w:cs="Times New Roman"/>
          <w:color w:val="0D0D0D" w:themeColor="text1" w:themeTint="F2"/>
          <w:sz w:val="24"/>
          <w:szCs w:val="24"/>
        </w:rPr>
        <w:t>follow</w:t>
      </w:r>
      <w:r w:rsidR="00C0138D">
        <w:rPr>
          <w:rFonts w:ascii="Times New Roman" w:hAnsi="Times New Roman" w:cs="Times New Roman"/>
          <w:color w:val="0D0D0D" w:themeColor="text1" w:themeTint="F2"/>
          <w:sz w:val="24"/>
          <w:szCs w:val="24"/>
        </w:rPr>
        <w:t>-</w:t>
      </w:r>
      <w:r w:rsidR="00B412BB">
        <w:rPr>
          <w:rFonts w:ascii="Times New Roman" w:hAnsi="Times New Roman" w:cs="Times New Roman"/>
          <w:color w:val="0D0D0D" w:themeColor="text1" w:themeTint="F2"/>
          <w:sz w:val="24"/>
          <w:szCs w:val="24"/>
        </w:rPr>
        <w:t>up</w:t>
      </w:r>
      <w:r w:rsidR="00655956">
        <w:rPr>
          <w:rFonts w:ascii="Times New Roman" w:hAnsi="Times New Roman" w:cs="Times New Roman"/>
          <w:color w:val="0D0D0D" w:themeColor="text1" w:themeTint="F2"/>
          <w:sz w:val="24"/>
          <w:szCs w:val="24"/>
        </w:rPr>
        <w:t xml:space="preserve"> </w:t>
      </w:r>
      <w:r w:rsidR="0001606C">
        <w:rPr>
          <w:rFonts w:ascii="Times New Roman" w:hAnsi="Times New Roman" w:cs="Times New Roman"/>
          <w:color w:val="0D0D0D" w:themeColor="text1" w:themeTint="F2"/>
          <w:sz w:val="24"/>
          <w:szCs w:val="24"/>
        </w:rPr>
        <w:t>visits</w:t>
      </w:r>
      <w:r w:rsidR="005752FE">
        <w:rPr>
          <w:rFonts w:ascii="Times New Roman" w:hAnsi="Times New Roman" w:cs="Times New Roman"/>
          <w:color w:val="0D0D0D" w:themeColor="text1" w:themeTint="F2"/>
          <w:sz w:val="24"/>
          <w:szCs w:val="24"/>
        </w:rPr>
        <w:t>/calls</w:t>
      </w:r>
      <w:r w:rsidR="0001606C">
        <w:rPr>
          <w:rFonts w:ascii="Times New Roman" w:hAnsi="Times New Roman" w:cs="Times New Roman"/>
          <w:color w:val="0D0D0D" w:themeColor="text1" w:themeTint="F2"/>
          <w:sz w:val="24"/>
          <w:szCs w:val="24"/>
        </w:rPr>
        <w:t xml:space="preserve"> </w:t>
      </w:r>
      <w:r w:rsidR="00655956">
        <w:rPr>
          <w:rFonts w:ascii="Times New Roman" w:hAnsi="Times New Roman" w:cs="Times New Roman"/>
          <w:color w:val="0D0D0D" w:themeColor="text1" w:themeTint="F2"/>
          <w:sz w:val="24"/>
          <w:szCs w:val="24"/>
        </w:rPr>
        <w:t>and patients’ motivation to improve their health may lead to better treatment adherence in RCTs.</w:t>
      </w:r>
      <w:r w:rsidR="00B412BB">
        <w:rPr>
          <w:rFonts w:ascii="Times New Roman" w:hAnsi="Times New Roman" w:cs="Times New Roman"/>
          <w:color w:val="0D0D0D" w:themeColor="text1" w:themeTint="F2"/>
          <w:sz w:val="24"/>
          <w:szCs w:val="24"/>
        </w:rPr>
        <w:t xml:space="preserve"> </w:t>
      </w:r>
      <w:r w:rsidR="00B30553">
        <w:rPr>
          <w:rFonts w:ascii="Times New Roman" w:hAnsi="Times New Roman" w:cs="Times New Roman"/>
          <w:color w:val="0D0D0D" w:themeColor="text1" w:themeTint="F2"/>
          <w:sz w:val="24"/>
          <w:szCs w:val="24"/>
        </w:rPr>
        <w:t xml:space="preserve">A previous report has shown that </w:t>
      </w:r>
      <w:r w:rsidR="00EF6258">
        <w:rPr>
          <w:rFonts w:ascii="Times New Roman" w:hAnsi="Times New Roman" w:cs="Times New Roman"/>
          <w:color w:val="0D0D0D" w:themeColor="text1" w:themeTint="F2"/>
          <w:sz w:val="24"/>
          <w:szCs w:val="24"/>
        </w:rPr>
        <w:t xml:space="preserve">medication adherence is a key factor contributing to improved glycaemic control in RCTs compared to </w:t>
      </w:r>
      <w:r w:rsidR="006574B2">
        <w:rPr>
          <w:rFonts w:ascii="Times New Roman" w:hAnsi="Times New Roman" w:cs="Times New Roman"/>
          <w:color w:val="0D0D0D" w:themeColor="text1" w:themeTint="F2"/>
          <w:sz w:val="24"/>
          <w:szCs w:val="24"/>
        </w:rPr>
        <w:t>RWE st</w:t>
      </w:r>
      <w:r w:rsidR="00743D6C">
        <w:rPr>
          <w:rFonts w:ascii="Times New Roman" w:hAnsi="Times New Roman" w:cs="Times New Roman"/>
          <w:color w:val="0D0D0D" w:themeColor="text1" w:themeTint="F2"/>
          <w:sz w:val="24"/>
          <w:szCs w:val="24"/>
        </w:rPr>
        <w:t>udies</w:t>
      </w:r>
      <w:r w:rsidR="00B30553">
        <w:rPr>
          <w:rFonts w:ascii="Times New Roman" w:hAnsi="Times New Roman" w:cs="Times New Roman"/>
          <w:color w:val="0D0D0D" w:themeColor="text1" w:themeTint="F2"/>
          <w:sz w:val="24"/>
          <w:szCs w:val="24"/>
        </w:rPr>
        <w:t xml:space="preserve"> [2</w:t>
      </w:r>
      <w:r w:rsidR="00087019">
        <w:rPr>
          <w:rFonts w:ascii="Times New Roman" w:hAnsi="Times New Roman" w:cs="Times New Roman"/>
          <w:color w:val="0D0D0D" w:themeColor="text1" w:themeTint="F2"/>
          <w:sz w:val="24"/>
          <w:szCs w:val="24"/>
        </w:rPr>
        <w:t>6</w:t>
      </w:r>
      <w:r w:rsidR="00B30553">
        <w:rPr>
          <w:rFonts w:ascii="Times New Roman" w:hAnsi="Times New Roman" w:cs="Times New Roman"/>
          <w:color w:val="0D0D0D" w:themeColor="text1" w:themeTint="F2"/>
          <w:sz w:val="24"/>
          <w:szCs w:val="24"/>
        </w:rPr>
        <w:t>]</w:t>
      </w:r>
      <w:r w:rsidR="005F314E">
        <w:rPr>
          <w:rFonts w:ascii="Times New Roman" w:hAnsi="Times New Roman" w:cs="Times New Roman"/>
          <w:color w:val="0D0D0D" w:themeColor="text1" w:themeTint="F2"/>
          <w:sz w:val="24"/>
          <w:szCs w:val="24"/>
        </w:rPr>
        <w:t>.</w:t>
      </w:r>
      <w:r w:rsidR="00670278">
        <w:rPr>
          <w:rFonts w:ascii="Times New Roman" w:hAnsi="Times New Roman" w:cs="Times New Roman"/>
          <w:color w:val="0D0D0D" w:themeColor="text1" w:themeTint="F2"/>
          <w:sz w:val="24"/>
          <w:szCs w:val="24"/>
        </w:rPr>
        <w:t xml:space="preserve"> </w:t>
      </w:r>
      <w:r w:rsidR="00BD0E68" w:rsidRPr="00842FE5">
        <w:rPr>
          <w:rFonts w:ascii="Times New Roman" w:hAnsi="Times New Roman" w:cs="Times New Roman"/>
          <w:color w:val="0D0D0D" w:themeColor="text1" w:themeTint="F2"/>
          <w:sz w:val="24"/>
          <w:szCs w:val="24"/>
        </w:rPr>
        <w:t>Th</w:t>
      </w:r>
      <w:r w:rsidR="00673104" w:rsidRPr="00842FE5">
        <w:rPr>
          <w:rFonts w:ascii="Times New Roman" w:hAnsi="Times New Roman" w:cs="Times New Roman"/>
          <w:color w:val="0D0D0D" w:themeColor="text1" w:themeTint="F2"/>
          <w:sz w:val="24"/>
          <w:szCs w:val="24"/>
        </w:rPr>
        <w:t>e</w:t>
      </w:r>
      <w:r w:rsidR="00BD0E68" w:rsidRPr="00842FE5">
        <w:rPr>
          <w:rFonts w:ascii="Times New Roman" w:hAnsi="Times New Roman" w:cs="Times New Roman"/>
          <w:color w:val="0D0D0D" w:themeColor="text1" w:themeTint="F2"/>
          <w:sz w:val="24"/>
          <w:szCs w:val="24"/>
        </w:rPr>
        <w:t xml:space="preserve"> </w:t>
      </w:r>
      <w:r w:rsidR="00314231" w:rsidRPr="00842FE5">
        <w:rPr>
          <w:rFonts w:ascii="Times New Roman" w:hAnsi="Times New Roman" w:cs="Times New Roman"/>
          <w:color w:val="0D0D0D" w:themeColor="text1" w:themeTint="F2"/>
          <w:sz w:val="24"/>
          <w:szCs w:val="24"/>
        </w:rPr>
        <w:t xml:space="preserve">main limitation of </w:t>
      </w:r>
      <w:r w:rsidR="00100651" w:rsidRPr="00842FE5">
        <w:rPr>
          <w:rFonts w:ascii="Times New Roman" w:hAnsi="Times New Roman" w:cs="Times New Roman"/>
          <w:color w:val="0D0D0D" w:themeColor="text1" w:themeTint="F2"/>
          <w:sz w:val="24"/>
          <w:szCs w:val="24"/>
        </w:rPr>
        <w:t xml:space="preserve">the </w:t>
      </w:r>
      <w:r w:rsidR="00B32CA2" w:rsidRPr="00842FE5">
        <w:rPr>
          <w:rFonts w:ascii="Times New Roman" w:hAnsi="Times New Roman" w:cs="Times New Roman"/>
          <w:color w:val="0D0D0D" w:themeColor="text1" w:themeTint="F2"/>
          <w:sz w:val="24"/>
          <w:szCs w:val="24"/>
        </w:rPr>
        <w:t xml:space="preserve">ARTEMIS-DM </w:t>
      </w:r>
      <w:r w:rsidR="00314231" w:rsidRPr="00842FE5">
        <w:rPr>
          <w:rFonts w:ascii="Times New Roman" w:hAnsi="Times New Roman" w:cs="Times New Roman"/>
          <w:color w:val="0D0D0D" w:themeColor="text1" w:themeTint="F2"/>
          <w:sz w:val="24"/>
          <w:szCs w:val="24"/>
        </w:rPr>
        <w:t xml:space="preserve">study </w:t>
      </w:r>
      <w:r w:rsidR="008659B8" w:rsidRPr="00842FE5">
        <w:rPr>
          <w:rFonts w:ascii="Times New Roman" w:hAnsi="Times New Roman" w:cs="Times New Roman"/>
          <w:color w:val="0D0D0D" w:themeColor="text1" w:themeTint="F2"/>
          <w:sz w:val="24"/>
          <w:szCs w:val="24"/>
        </w:rPr>
        <w:t>was t</w:t>
      </w:r>
      <w:r w:rsidR="00314231" w:rsidRPr="00842FE5">
        <w:rPr>
          <w:rFonts w:ascii="Times New Roman" w:hAnsi="Times New Roman" w:cs="Times New Roman"/>
          <w:color w:val="0D0D0D" w:themeColor="text1" w:themeTint="F2"/>
          <w:sz w:val="24"/>
          <w:szCs w:val="24"/>
        </w:rPr>
        <w:t xml:space="preserve">he </w:t>
      </w:r>
      <w:r w:rsidR="00BD0E68" w:rsidRPr="00842FE5">
        <w:rPr>
          <w:rFonts w:ascii="Times New Roman" w:hAnsi="Times New Roman" w:cs="Times New Roman"/>
          <w:color w:val="0D0D0D" w:themeColor="text1" w:themeTint="F2"/>
          <w:sz w:val="24"/>
          <w:szCs w:val="24"/>
        </w:rPr>
        <w:t xml:space="preserve">single arm </w:t>
      </w:r>
      <w:r w:rsidR="008659B8" w:rsidRPr="00842FE5">
        <w:rPr>
          <w:rFonts w:ascii="Times New Roman" w:hAnsi="Times New Roman" w:cs="Times New Roman"/>
          <w:color w:val="0D0D0D" w:themeColor="text1" w:themeTint="F2"/>
          <w:sz w:val="24"/>
          <w:szCs w:val="24"/>
        </w:rPr>
        <w:t xml:space="preserve">study design </w:t>
      </w:r>
      <w:r w:rsidR="00BD0E68" w:rsidRPr="00842FE5">
        <w:rPr>
          <w:rFonts w:ascii="Times New Roman" w:hAnsi="Times New Roman" w:cs="Times New Roman"/>
          <w:color w:val="0D0D0D" w:themeColor="text1" w:themeTint="F2"/>
          <w:sz w:val="24"/>
          <w:szCs w:val="24"/>
        </w:rPr>
        <w:t xml:space="preserve">with </w:t>
      </w:r>
      <w:r w:rsidR="00BD0E68" w:rsidRPr="00842FE5">
        <w:rPr>
          <w:rFonts w:ascii="Times New Roman" w:hAnsi="Times New Roman" w:cs="Times New Roman"/>
          <w:color w:val="0D0D0D" w:themeColor="text1" w:themeTint="F2"/>
          <w:sz w:val="24"/>
          <w:szCs w:val="24"/>
        </w:rPr>
        <w:lastRenderedPageBreak/>
        <w:t>no direct comparator</w:t>
      </w:r>
      <w:r w:rsidR="00470CBE" w:rsidRPr="00842FE5">
        <w:rPr>
          <w:rFonts w:ascii="Times New Roman" w:hAnsi="Times New Roman" w:cs="Times New Roman"/>
          <w:color w:val="0D0D0D" w:themeColor="text1" w:themeTint="F2"/>
          <w:sz w:val="24"/>
          <w:szCs w:val="24"/>
        </w:rPr>
        <w:t>s</w:t>
      </w:r>
      <w:r w:rsidR="0021217F" w:rsidRPr="00842FE5">
        <w:rPr>
          <w:rFonts w:ascii="Times New Roman" w:hAnsi="Times New Roman" w:cs="Times New Roman"/>
          <w:color w:val="0D0D0D" w:themeColor="text1" w:themeTint="F2"/>
          <w:sz w:val="24"/>
          <w:szCs w:val="24"/>
        </w:rPr>
        <w:t xml:space="preserve">; </w:t>
      </w:r>
      <w:r w:rsidR="008674C5" w:rsidRPr="00842FE5">
        <w:rPr>
          <w:rFonts w:ascii="Times New Roman" w:hAnsi="Times New Roman" w:cs="Times New Roman"/>
          <w:color w:val="0D0D0D" w:themeColor="text1" w:themeTint="F2"/>
          <w:sz w:val="24"/>
          <w:szCs w:val="24"/>
        </w:rPr>
        <w:t xml:space="preserve">however, </w:t>
      </w:r>
      <w:r w:rsidR="000C7342" w:rsidRPr="00842FE5">
        <w:rPr>
          <w:rFonts w:ascii="Times New Roman" w:hAnsi="Times New Roman" w:cs="Times New Roman"/>
          <w:color w:val="0D0D0D" w:themeColor="text1" w:themeTint="F2"/>
          <w:sz w:val="24"/>
          <w:szCs w:val="24"/>
        </w:rPr>
        <w:t xml:space="preserve">it was a large </w:t>
      </w:r>
      <w:r w:rsidR="00E9780D" w:rsidRPr="00842FE5">
        <w:rPr>
          <w:rFonts w:ascii="Times New Roman" w:hAnsi="Times New Roman" w:cs="Times New Roman"/>
          <w:color w:val="0D0D0D" w:themeColor="text1" w:themeTint="F2"/>
          <w:sz w:val="24"/>
          <w:szCs w:val="24"/>
        </w:rPr>
        <w:t xml:space="preserve">interventional study </w:t>
      </w:r>
      <w:r w:rsidR="006B7D69" w:rsidRPr="00842FE5">
        <w:rPr>
          <w:rFonts w:ascii="Times New Roman" w:hAnsi="Times New Roman" w:cs="Times New Roman"/>
          <w:color w:val="0D0D0D" w:themeColor="text1" w:themeTint="F2"/>
          <w:sz w:val="24"/>
          <w:szCs w:val="24"/>
        </w:rPr>
        <w:t>conducted across multiple geographic region</w:t>
      </w:r>
      <w:r w:rsidR="0021217F" w:rsidRPr="00842FE5">
        <w:rPr>
          <w:rFonts w:ascii="Times New Roman" w:hAnsi="Times New Roman" w:cs="Times New Roman"/>
          <w:color w:val="0D0D0D" w:themeColor="text1" w:themeTint="F2"/>
          <w:sz w:val="24"/>
          <w:szCs w:val="24"/>
        </w:rPr>
        <w:t>s</w:t>
      </w:r>
      <w:r w:rsidR="006B7D69" w:rsidRPr="00842FE5">
        <w:rPr>
          <w:rFonts w:ascii="Times New Roman" w:hAnsi="Times New Roman" w:cs="Times New Roman"/>
          <w:color w:val="0D0D0D" w:themeColor="text1" w:themeTint="F2"/>
          <w:sz w:val="24"/>
          <w:szCs w:val="24"/>
        </w:rPr>
        <w:t xml:space="preserve"> </w:t>
      </w:r>
      <w:r w:rsidR="000C7342" w:rsidRPr="00842FE5">
        <w:rPr>
          <w:rFonts w:ascii="Times New Roman" w:hAnsi="Times New Roman" w:cs="Times New Roman"/>
          <w:color w:val="0D0D0D" w:themeColor="text1" w:themeTint="F2"/>
          <w:sz w:val="24"/>
          <w:szCs w:val="24"/>
        </w:rPr>
        <w:t xml:space="preserve">and </w:t>
      </w:r>
      <w:r w:rsidR="008D5204" w:rsidRPr="00842FE5">
        <w:rPr>
          <w:rFonts w:ascii="Times New Roman" w:hAnsi="Times New Roman" w:cs="Times New Roman"/>
          <w:color w:val="0D0D0D" w:themeColor="text1" w:themeTint="F2"/>
          <w:sz w:val="24"/>
          <w:szCs w:val="24"/>
        </w:rPr>
        <w:t xml:space="preserve">provides </w:t>
      </w:r>
      <w:r w:rsidR="00841730" w:rsidRPr="00842FE5">
        <w:rPr>
          <w:rFonts w:ascii="Times New Roman" w:hAnsi="Times New Roman" w:cs="Times New Roman"/>
          <w:color w:val="0D0D0D" w:themeColor="text1" w:themeTint="F2"/>
          <w:sz w:val="24"/>
          <w:szCs w:val="24"/>
        </w:rPr>
        <w:t>data</w:t>
      </w:r>
      <w:r w:rsidR="00A61E64" w:rsidRPr="00842FE5">
        <w:rPr>
          <w:rFonts w:ascii="Times New Roman" w:hAnsi="Times New Roman" w:cs="Times New Roman"/>
          <w:color w:val="0D0D0D" w:themeColor="text1" w:themeTint="F2"/>
          <w:sz w:val="24"/>
          <w:szCs w:val="24"/>
        </w:rPr>
        <w:t xml:space="preserve"> </w:t>
      </w:r>
      <w:r w:rsidR="00261B3C" w:rsidRPr="00842FE5">
        <w:rPr>
          <w:rFonts w:ascii="Times New Roman" w:hAnsi="Times New Roman" w:cs="Times New Roman"/>
          <w:color w:val="0D0D0D" w:themeColor="text1" w:themeTint="F2"/>
          <w:sz w:val="24"/>
          <w:szCs w:val="24"/>
        </w:rPr>
        <w:t>from</w:t>
      </w:r>
      <w:r w:rsidR="00A61E64" w:rsidRPr="00842FE5">
        <w:rPr>
          <w:rFonts w:ascii="Times New Roman" w:hAnsi="Times New Roman" w:cs="Times New Roman"/>
          <w:color w:val="0D0D0D" w:themeColor="text1" w:themeTint="F2"/>
          <w:sz w:val="24"/>
          <w:szCs w:val="24"/>
        </w:rPr>
        <w:t xml:space="preserve"> </w:t>
      </w:r>
      <w:r w:rsidR="0021217F" w:rsidRPr="00842FE5">
        <w:rPr>
          <w:rFonts w:ascii="Times New Roman" w:hAnsi="Times New Roman" w:cs="Times New Roman"/>
          <w:color w:val="0D0D0D" w:themeColor="text1" w:themeTint="F2"/>
          <w:sz w:val="24"/>
          <w:szCs w:val="24"/>
        </w:rPr>
        <w:t>close to real-world clinical setting</w:t>
      </w:r>
      <w:r w:rsidR="00A61E64" w:rsidRPr="00842FE5">
        <w:rPr>
          <w:rFonts w:ascii="Times New Roman" w:hAnsi="Times New Roman" w:cs="Times New Roman"/>
          <w:color w:val="0D0D0D" w:themeColor="text1" w:themeTint="F2"/>
          <w:sz w:val="24"/>
          <w:szCs w:val="24"/>
        </w:rPr>
        <w:t>.</w:t>
      </w:r>
    </w:p>
    <w:p w14:paraId="60F273C7" w14:textId="79EE7E54" w:rsidR="00772AE4" w:rsidRPr="00842FE5" w:rsidRDefault="00772AE4" w:rsidP="003858C4">
      <w:pPr>
        <w:tabs>
          <w:tab w:val="left" w:pos="3441"/>
        </w:tabs>
        <w:spacing w:line="480" w:lineRule="auto"/>
        <w:rPr>
          <w:rFonts w:ascii="Times New Roman" w:hAnsi="Times New Roman" w:cs="Times New Roman"/>
          <w:b/>
          <w:bCs/>
          <w:color w:val="0D0D0D" w:themeColor="text1" w:themeTint="F2"/>
          <w:sz w:val="24"/>
          <w:szCs w:val="24"/>
        </w:rPr>
      </w:pPr>
      <w:r w:rsidRPr="00842FE5">
        <w:rPr>
          <w:rFonts w:ascii="Times New Roman" w:hAnsi="Times New Roman" w:cs="Times New Roman"/>
          <w:b/>
          <w:bCs/>
          <w:color w:val="0D0D0D" w:themeColor="text1" w:themeTint="F2"/>
          <w:sz w:val="24"/>
          <w:szCs w:val="24"/>
        </w:rPr>
        <w:t>Conclusion</w:t>
      </w:r>
      <w:r w:rsidR="009505CD" w:rsidRPr="00842FE5">
        <w:rPr>
          <w:rFonts w:ascii="Times New Roman" w:hAnsi="Times New Roman" w:cs="Times New Roman"/>
          <w:b/>
          <w:bCs/>
          <w:color w:val="0D0D0D" w:themeColor="text1" w:themeTint="F2"/>
          <w:sz w:val="24"/>
          <w:szCs w:val="24"/>
        </w:rPr>
        <w:t xml:space="preserve"> </w:t>
      </w:r>
    </w:p>
    <w:p w14:paraId="46F4E27E" w14:textId="73F4F945" w:rsidR="00A05153" w:rsidRPr="00842FE5" w:rsidRDefault="00A05153" w:rsidP="003858C4">
      <w:pPr>
        <w:tabs>
          <w:tab w:val="left" w:pos="3441"/>
        </w:tabs>
        <w:spacing w:line="480" w:lineRule="auto"/>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 xml:space="preserve">The ARTEMIS-DM is the first 26-week interventional </w:t>
      </w:r>
      <w:r w:rsidR="009728F9" w:rsidRPr="00842FE5">
        <w:rPr>
          <w:rFonts w:ascii="Times New Roman" w:hAnsi="Times New Roman" w:cs="Times New Roman"/>
          <w:color w:val="0D0D0D" w:themeColor="text1" w:themeTint="F2"/>
          <w:sz w:val="24"/>
          <w:szCs w:val="24"/>
        </w:rPr>
        <w:t>study conducted in multiple geographic regions (Asia, Latin America and Middle-East Africa) with limited prior data on T2D</w:t>
      </w:r>
      <w:r w:rsidR="00F238D3" w:rsidRPr="00842FE5">
        <w:rPr>
          <w:rFonts w:ascii="Times New Roman" w:hAnsi="Times New Roman" w:cs="Times New Roman"/>
          <w:color w:val="0D0D0D" w:themeColor="text1" w:themeTint="F2"/>
          <w:sz w:val="24"/>
          <w:szCs w:val="24"/>
        </w:rPr>
        <w:t>M</w:t>
      </w:r>
      <w:r w:rsidR="009728F9" w:rsidRPr="00842FE5">
        <w:rPr>
          <w:rFonts w:ascii="Times New Roman" w:hAnsi="Times New Roman" w:cs="Times New Roman"/>
          <w:color w:val="0D0D0D" w:themeColor="text1" w:themeTint="F2"/>
          <w:sz w:val="24"/>
          <w:szCs w:val="24"/>
        </w:rPr>
        <w:t xml:space="preserve"> uncontrolled on previous BI and transitioned to Gla-300. The results of this study showed a clinically meaningful HbA</w:t>
      </w:r>
      <w:r w:rsidR="009728F9" w:rsidRPr="00842FE5">
        <w:rPr>
          <w:rFonts w:ascii="Times New Roman" w:hAnsi="Times New Roman" w:cs="Times New Roman"/>
          <w:color w:val="0D0D0D" w:themeColor="text1" w:themeTint="F2"/>
          <w:sz w:val="24"/>
          <w:szCs w:val="24"/>
          <w:vertAlign w:val="subscript"/>
        </w:rPr>
        <w:t>1c</w:t>
      </w:r>
      <w:r w:rsidR="009728F9" w:rsidRPr="00842FE5">
        <w:rPr>
          <w:rFonts w:ascii="Times New Roman" w:hAnsi="Times New Roman" w:cs="Times New Roman"/>
          <w:color w:val="0D0D0D" w:themeColor="text1" w:themeTint="F2"/>
          <w:sz w:val="24"/>
          <w:szCs w:val="24"/>
        </w:rPr>
        <w:t xml:space="preserve"> reduction at</w:t>
      </w:r>
      <w:r w:rsidR="00312B1F" w:rsidRPr="00842FE5">
        <w:rPr>
          <w:rFonts w:ascii="Times New Roman" w:hAnsi="Times New Roman" w:cs="Times New Roman"/>
          <w:color w:val="0D0D0D" w:themeColor="text1" w:themeTint="F2"/>
          <w:sz w:val="24"/>
          <w:szCs w:val="24"/>
        </w:rPr>
        <w:t xml:space="preserve"> </w:t>
      </w:r>
      <w:r w:rsidR="009728F9" w:rsidRPr="00842FE5">
        <w:rPr>
          <w:rFonts w:ascii="Times New Roman" w:hAnsi="Times New Roman" w:cs="Times New Roman"/>
          <w:color w:val="0D0D0D" w:themeColor="text1" w:themeTint="F2"/>
          <w:sz w:val="24"/>
          <w:szCs w:val="24"/>
        </w:rPr>
        <w:t xml:space="preserve">Week 26 with changes noted as early as after 12 weeks of treatment. Approximately </w:t>
      </w:r>
      <w:r w:rsidR="00D651FB" w:rsidRPr="00842FE5">
        <w:rPr>
          <w:rFonts w:ascii="Times New Roman" w:hAnsi="Times New Roman" w:cs="Times New Roman"/>
          <w:color w:val="0D0D0D" w:themeColor="text1" w:themeTint="F2"/>
          <w:sz w:val="24"/>
          <w:szCs w:val="24"/>
        </w:rPr>
        <w:t>20%</w:t>
      </w:r>
      <w:r w:rsidR="00564D6F" w:rsidRPr="00842FE5">
        <w:rPr>
          <w:rFonts w:ascii="Times New Roman" w:hAnsi="Times New Roman" w:cs="Times New Roman"/>
          <w:color w:val="0D0D0D" w:themeColor="text1" w:themeTint="F2"/>
          <w:sz w:val="24"/>
          <w:szCs w:val="24"/>
        </w:rPr>
        <w:t xml:space="preserve"> of</w:t>
      </w:r>
      <w:r w:rsidR="009728F9" w:rsidRPr="00842FE5">
        <w:rPr>
          <w:rFonts w:ascii="Times New Roman" w:hAnsi="Times New Roman" w:cs="Times New Roman"/>
          <w:color w:val="0D0D0D" w:themeColor="text1" w:themeTint="F2"/>
          <w:sz w:val="24"/>
          <w:szCs w:val="24"/>
        </w:rPr>
        <w:t xml:space="preserve"> </w:t>
      </w:r>
      <w:r w:rsidR="00AD0AA4" w:rsidRPr="00842FE5">
        <w:rPr>
          <w:rFonts w:ascii="Times New Roman" w:hAnsi="Times New Roman" w:cs="Times New Roman"/>
          <w:color w:val="0D0D0D" w:themeColor="text1" w:themeTint="F2"/>
          <w:sz w:val="24"/>
          <w:szCs w:val="24"/>
        </w:rPr>
        <w:t xml:space="preserve">the </w:t>
      </w:r>
      <w:r w:rsidR="009728F9" w:rsidRPr="00842FE5">
        <w:rPr>
          <w:rFonts w:ascii="Times New Roman" w:hAnsi="Times New Roman" w:cs="Times New Roman"/>
          <w:color w:val="0D0D0D" w:themeColor="text1" w:themeTint="F2"/>
          <w:sz w:val="24"/>
          <w:szCs w:val="24"/>
        </w:rPr>
        <w:t>participants achieved the target of HbA</w:t>
      </w:r>
      <w:r w:rsidR="009728F9" w:rsidRPr="00842FE5">
        <w:rPr>
          <w:rFonts w:ascii="Times New Roman" w:hAnsi="Times New Roman" w:cs="Times New Roman"/>
          <w:color w:val="0D0D0D" w:themeColor="text1" w:themeTint="F2"/>
          <w:sz w:val="24"/>
          <w:szCs w:val="24"/>
          <w:vertAlign w:val="subscript"/>
        </w:rPr>
        <w:t>1c</w:t>
      </w:r>
      <w:r w:rsidR="009728F9" w:rsidRPr="00842FE5">
        <w:rPr>
          <w:rFonts w:ascii="Times New Roman" w:hAnsi="Times New Roman" w:cs="Times New Roman"/>
          <w:color w:val="0D0D0D" w:themeColor="text1" w:themeTint="F2"/>
          <w:sz w:val="24"/>
          <w:szCs w:val="24"/>
        </w:rPr>
        <w:t xml:space="preserve"> &lt;7% and </w:t>
      </w:r>
      <w:r w:rsidR="00C74F02" w:rsidRPr="00842FE5">
        <w:rPr>
          <w:rFonts w:ascii="Times New Roman" w:hAnsi="Times New Roman" w:cs="Times New Roman"/>
          <w:color w:val="0D0D0D" w:themeColor="text1" w:themeTint="F2"/>
          <w:sz w:val="24"/>
          <w:szCs w:val="24"/>
        </w:rPr>
        <w:t xml:space="preserve">&gt;35% of </w:t>
      </w:r>
      <w:r w:rsidR="009728F9" w:rsidRPr="00842FE5">
        <w:rPr>
          <w:rFonts w:ascii="Times New Roman" w:hAnsi="Times New Roman" w:cs="Times New Roman"/>
          <w:color w:val="0D0D0D" w:themeColor="text1" w:themeTint="F2"/>
          <w:sz w:val="24"/>
          <w:szCs w:val="24"/>
        </w:rPr>
        <w:t>participants</w:t>
      </w:r>
      <w:r w:rsidR="002E1F5F" w:rsidRPr="00842FE5">
        <w:rPr>
          <w:rFonts w:ascii="Times New Roman" w:hAnsi="Times New Roman" w:cs="Times New Roman"/>
          <w:color w:val="0D0D0D" w:themeColor="text1" w:themeTint="F2"/>
          <w:sz w:val="24"/>
          <w:szCs w:val="24"/>
        </w:rPr>
        <w:t xml:space="preserve"> </w:t>
      </w:r>
      <w:r w:rsidR="009728F9" w:rsidRPr="00842FE5">
        <w:rPr>
          <w:rFonts w:ascii="Times New Roman" w:hAnsi="Times New Roman" w:cs="Times New Roman"/>
          <w:color w:val="0D0D0D" w:themeColor="text1" w:themeTint="F2"/>
          <w:sz w:val="24"/>
          <w:szCs w:val="24"/>
        </w:rPr>
        <w:t>achieved less stringent HbA</w:t>
      </w:r>
      <w:r w:rsidR="009728F9" w:rsidRPr="00842FE5">
        <w:rPr>
          <w:rFonts w:ascii="Times New Roman" w:hAnsi="Times New Roman" w:cs="Times New Roman"/>
          <w:color w:val="0D0D0D" w:themeColor="text1" w:themeTint="F2"/>
          <w:sz w:val="24"/>
          <w:szCs w:val="24"/>
          <w:vertAlign w:val="subscript"/>
        </w:rPr>
        <w:t>1c</w:t>
      </w:r>
      <w:r w:rsidR="009728F9" w:rsidRPr="00842FE5">
        <w:rPr>
          <w:rFonts w:ascii="Times New Roman" w:hAnsi="Times New Roman" w:cs="Times New Roman"/>
          <w:color w:val="0D0D0D" w:themeColor="text1" w:themeTint="F2"/>
          <w:sz w:val="24"/>
          <w:szCs w:val="24"/>
        </w:rPr>
        <w:t xml:space="preserve"> targets. The safety results were consistent with previous studies in terms of </w:t>
      </w:r>
      <w:r w:rsidR="008352E0" w:rsidRPr="00842FE5">
        <w:rPr>
          <w:rFonts w:ascii="Times New Roman" w:hAnsi="Times New Roman" w:cs="Times New Roman"/>
          <w:color w:val="0D0D0D" w:themeColor="text1" w:themeTint="F2"/>
          <w:sz w:val="24"/>
          <w:szCs w:val="24"/>
        </w:rPr>
        <w:t xml:space="preserve">adverse events </w:t>
      </w:r>
      <w:r w:rsidR="009728F9" w:rsidRPr="00842FE5">
        <w:rPr>
          <w:rFonts w:ascii="Times New Roman" w:hAnsi="Times New Roman" w:cs="Times New Roman"/>
          <w:color w:val="0D0D0D" w:themeColor="text1" w:themeTint="F2"/>
          <w:sz w:val="24"/>
          <w:szCs w:val="24"/>
        </w:rPr>
        <w:t>and hypoglycaemia</w:t>
      </w:r>
      <w:r w:rsidR="004E6666" w:rsidRPr="00842FE5">
        <w:rPr>
          <w:rFonts w:ascii="Times New Roman" w:hAnsi="Times New Roman" w:cs="Times New Roman"/>
          <w:color w:val="0D0D0D" w:themeColor="text1" w:themeTint="F2"/>
          <w:sz w:val="24"/>
          <w:szCs w:val="24"/>
        </w:rPr>
        <w:t>,</w:t>
      </w:r>
      <w:r w:rsidR="009728F9" w:rsidRPr="00842FE5">
        <w:rPr>
          <w:rFonts w:ascii="Times New Roman" w:hAnsi="Times New Roman" w:cs="Times New Roman"/>
          <w:color w:val="0D0D0D" w:themeColor="text1" w:themeTint="F2"/>
          <w:sz w:val="24"/>
          <w:szCs w:val="24"/>
        </w:rPr>
        <w:t xml:space="preserve"> </w:t>
      </w:r>
      <w:r w:rsidR="00F45C17" w:rsidRPr="00842FE5">
        <w:rPr>
          <w:rFonts w:ascii="Times New Roman" w:hAnsi="Times New Roman" w:cs="Times New Roman"/>
          <w:color w:val="0D0D0D" w:themeColor="text1" w:themeTint="F2"/>
          <w:sz w:val="24"/>
          <w:szCs w:val="24"/>
        </w:rPr>
        <w:t xml:space="preserve">with </w:t>
      </w:r>
      <w:r w:rsidR="00472DF8" w:rsidRPr="00842FE5">
        <w:rPr>
          <w:rFonts w:ascii="Times New Roman" w:hAnsi="Times New Roman" w:cs="Times New Roman"/>
          <w:color w:val="0D0D0D" w:themeColor="text1" w:themeTint="F2"/>
          <w:sz w:val="24"/>
          <w:szCs w:val="24"/>
        </w:rPr>
        <w:t>no new or unexpected safety findings</w:t>
      </w:r>
      <w:r w:rsidR="009728F9" w:rsidRPr="00842FE5">
        <w:rPr>
          <w:rFonts w:ascii="Times New Roman" w:hAnsi="Times New Roman" w:cs="Times New Roman"/>
          <w:color w:val="0D0D0D" w:themeColor="text1" w:themeTint="F2"/>
          <w:sz w:val="24"/>
          <w:szCs w:val="24"/>
        </w:rPr>
        <w:t xml:space="preserve">. </w:t>
      </w:r>
      <w:r w:rsidR="00641076" w:rsidRPr="00842FE5">
        <w:rPr>
          <w:rFonts w:ascii="Times New Roman" w:hAnsi="Times New Roman" w:cs="Times New Roman"/>
          <w:color w:val="0D0D0D" w:themeColor="text1" w:themeTint="F2"/>
          <w:sz w:val="24"/>
          <w:szCs w:val="24"/>
        </w:rPr>
        <w:t xml:space="preserve">The </w:t>
      </w:r>
      <w:r w:rsidR="00E11389" w:rsidRPr="00842FE5">
        <w:rPr>
          <w:rFonts w:ascii="Times New Roman" w:hAnsi="Times New Roman" w:cs="Times New Roman"/>
          <w:color w:val="0D0D0D" w:themeColor="text1" w:themeTint="F2"/>
          <w:sz w:val="24"/>
          <w:szCs w:val="24"/>
        </w:rPr>
        <w:t xml:space="preserve">observed glycaemic improvements and low </w:t>
      </w:r>
      <w:r w:rsidR="006B6B18" w:rsidRPr="00842FE5">
        <w:rPr>
          <w:rFonts w:ascii="Times New Roman" w:hAnsi="Times New Roman" w:cs="Times New Roman"/>
          <w:color w:val="0D0D0D" w:themeColor="text1" w:themeTint="F2"/>
          <w:sz w:val="24"/>
          <w:szCs w:val="24"/>
        </w:rPr>
        <w:t>incidence of hypoglycaemia</w:t>
      </w:r>
      <w:r w:rsidR="00641076" w:rsidRPr="00842FE5">
        <w:rPr>
          <w:rFonts w:ascii="Times New Roman" w:hAnsi="Times New Roman" w:cs="Times New Roman"/>
          <w:color w:val="0D0D0D" w:themeColor="text1" w:themeTint="F2"/>
          <w:sz w:val="24"/>
          <w:szCs w:val="24"/>
        </w:rPr>
        <w:t xml:space="preserve"> with the low starting Gla-300 dose and </w:t>
      </w:r>
      <w:r w:rsidR="007262AB" w:rsidRPr="00842FE5">
        <w:rPr>
          <w:rFonts w:ascii="Times New Roman" w:hAnsi="Times New Roman" w:cs="Times New Roman"/>
          <w:color w:val="0D0D0D" w:themeColor="text1" w:themeTint="F2"/>
          <w:sz w:val="24"/>
          <w:szCs w:val="24"/>
        </w:rPr>
        <w:t>magnitude of titration</w:t>
      </w:r>
      <w:r w:rsidR="006B6B18" w:rsidRPr="00842FE5">
        <w:rPr>
          <w:rFonts w:ascii="Times New Roman" w:hAnsi="Times New Roman" w:cs="Times New Roman"/>
          <w:color w:val="0D0D0D" w:themeColor="text1" w:themeTint="F2"/>
          <w:sz w:val="24"/>
          <w:szCs w:val="24"/>
        </w:rPr>
        <w:t xml:space="preserve">, </w:t>
      </w:r>
      <w:r w:rsidR="007262AB" w:rsidRPr="00842FE5">
        <w:rPr>
          <w:rFonts w:ascii="Times New Roman" w:hAnsi="Times New Roman" w:cs="Times New Roman"/>
          <w:color w:val="0D0D0D" w:themeColor="text1" w:themeTint="F2"/>
          <w:sz w:val="24"/>
          <w:szCs w:val="24"/>
        </w:rPr>
        <w:t xml:space="preserve">suggest that a more stringent titration approach </w:t>
      </w:r>
      <w:r w:rsidR="002878DB" w:rsidRPr="00842FE5">
        <w:rPr>
          <w:rFonts w:ascii="Times New Roman" w:hAnsi="Times New Roman" w:cs="Times New Roman"/>
          <w:color w:val="0D0D0D" w:themeColor="text1" w:themeTint="F2"/>
          <w:sz w:val="24"/>
          <w:szCs w:val="24"/>
        </w:rPr>
        <w:t xml:space="preserve">could </w:t>
      </w:r>
      <w:r w:rsidR="007262AB" w:rsidRPr="00842FE5">
        <w:rPr>
          <w:rFonts w:ascii="Times New Roman" w:hAnsi="Times New Roman" w:cs="Times New Roman"/>
          <w:color w:val="0D0D0D" w:themeColor="text1" w:themeTint="F2"/>
          <w:sz w:val="24"/>
          <w:szCs w:val="24"/>
        </w:rPr>
        <w:t xml:space="preserve">enable more people to achieve </w:t>
      </w:r>
      <w:r w:rsidR="006D5D8D" w:rsidRPr="00842FE5">
        <w:rPr>
          <w:rFonts w:ascii="Times New Roman" w:hAnsi="Times New Roman" w:cs="Times New Roman"/>
          <w:color w:val="0D0D0D" w:themeColor="text1" w:themeTint="F2"/>
          <w:sz w:val="24"/>
          <w:szCs w:val="24"/>
        </w:rPr>
        <w:t xml:space="preserve">glycaemic control. </w:t>
      </w:r>
      <w:r w:rsidR="009728F9" w:rsidRPr="00842FE5">
        <w:rPr>
          <w:rFonts w:ascii="Times New Roman" w:hAnsi="Times New Roman" w:cs="Times New Roman"/>
          <w:color w:val="0D0D0D" w:themeColor="text1" w:themeTint="F2"/>
          <w:sz w:val="24"/>
          <w:szCs w:val="24"/>
        </w:rPr>
        <w:t>Thus, in people with T2D</w:t>
      </w:r>
      <w:r w:rsidR="00F238D3" w:rsidRPr="00842FE5">
        <w:rPr>
          <w:rFonts w:ascii="Times New Roman" w:hAnsi="Times New Roman" w:cs="Times New Roman"/>
          <w:color w:val="0D0D0D" w:themeColor="text1" w:themeTint="F2"/>
          <w:sz w:val="24"/>
          <w:szCs w:val="24"/>
        </w:rPr>
        <w:t>M</w:t>
      </w:r>
      <w:r w:rsidR="009728F9" w:rsidRPr="00842FE5">
        <w:rPr>
          <w:rFonts w:ascii="Times New Roman" w:hAnsi="Times New Roman" w:cs="Times New Roman"/>
          <w:color w:val="0D0D0D" w:themeColor="text1" w:themeTint="F2"/>
          <w:sz w:val="24"/>
          <w:szCs w:val="24"/>
        </w:rPr>
        <w:t xml:space="preserve"> uncontrolled on previous BI from multiple geographic regions, switching to Gla-300 </w:t>
      </w:r>
      <w:r w:rsidR="009A2AA6" w:rsidRPr="00842FE5">
        <w:rPr>
          <w:rFonts w:ascii="Times New Roman" w:hAnsi="Times New Roman" w:cs="Times New Roman"/>
          <w:color w:val="0D0D0D" w:themeColor="text1" w:themeTint="F2"/>
          <w:sz w:val="24"/>
          <w:szCs w:val="24"/>
        </w:rPr>
        <w:t>with</w:t>
      </w:r>
      <w:r w:rsidR="00B40D47" w:rsidRPr="00842FE5">
        <w:rPr>
          <w:rFonts w:ascii="Times New Roman" w:hAnsi="Times New Roman" w:cs="Times New Roman"/>
          <w:color w:val="0D0D0D" w:themeColor="text1" w:themeTint="F2"/>
          <w:sz w:val="24"/>
          <w:szCs w:val="24"/>
        </w:rPr>
        <w:t xml:space="preserve"> a standardi</w:t>
      </w:r>
      <w:r w:rsidR="00A177E4" w:rsidRPr="00842FE5">
        <w:rPr>
          <w:rFonts w:ascii="Times New Roman" w:hAnsi="Times New Roman" w:cs="Times New Roman"/>
          <w:color w:val="0D0D0D" w:themeColor="text1" w:themeTint="F2"/>
          <w:sz w:val="24"/>
          <w:szCs w:val="24"/>
        </w:rPr>
        <w:t>s</w:t>
      </w:r>
      <w:r w:rsidR="00B40D47" w:rsidRPr="00842FE5">
        <w:rPr>
          <w:rFonts w:ascii="Times New Roman" w:hAnsi="Times New Roman" w:cs="Times New Roman"/>
          <w:color w:val="0D0D0D" w:themeColor="text1" w:themeTint="F2"/>
          <w:sz w:val="24"/>
          <w:szCs w:val="24"/>
        </w:rPr>
        <w:t xml:space="preserve">ed dose-titration algorithm </w:t>
      </w:r>
      <w:r w:rsidR="009728F9" w:rsidRPr="00842FE5">
        <w:rPr>
          <w:rFonts w:ascii="Times New Roman" w:hAnsi="Times New Roman" w:cs="Times New Roman"/>
          <w:color w:val="0D0D0D" w:themeColor="text1" w:themeTint="F2"/>
          <w:sz w:val="24"/>
          <w:szCs w:val="24"/>
        </w:rPr>
        <w:t>was associated with improved glyc</w:t>
      </w:r>
      <w:r w:rsidR="00814601" w:rsidRPr="00842FE5">
        <w:rPr>
          <w:rFonts w:ascii="Times New Roman" w:hAnsi="Times New Roman" w:cs="Times New Roman"/>
          <w:color w:val="0D0D0D" w:themeColor="text1" w:themeTint="F2"/>
          <w:sz w:val="24"/>
          <w:szCs w:val="24"/>
        </w:rPr>
        <w:t>a</w:t>
      </w:r>
      <w:r w:rsidR="009728F9" w:rsidRPr="00842FE5">
        <w:rPr>
          <w:rFonts w:ascii="Times New Roman" w:hAnsi="Times New Roman" w:cs="Times New Roman"/>
          <w:color w:val="0D0D0D" w:themeColor="text1" w:themeTint="F2"/>
          <w:sz w:val="24"/>
          <w:szCs w:val="24"/>
        </w:rPr>
        <w:t>emic control and low risk of hypoglyc</w:t>
      </w:r>
      <w:r w:rsidR="00CE383E" w:rsidRPr="00842FE5">
        <w:rPr>
          <w:rFonts w:ascii="Times New Roman" w:hAnsi="Times New Roman" w:cs="Times New Roman"/>
          <w:color w:val="0D0D0D" w:themeColor="text1" w:themeTint="F2"/>
          <w:sz w:val="24"/>
          <w:szCs w:val="24"/>
        </w:rPr>
        <w:t>a</w:t>
      </w:r>
      <w:r w:rsidR="009728F9" w:rsidRPr="00842FE5">
        <w:rPr>
          <w:rFonts w:ascii="Times New Roman" w:hAnsi="Times New Roman" w:cs="Times New Roman"/>
          <w:color w:val="0D0D0D" w:themeColor="text1" w:themeTint="F2"/>
          <w:sz w:val="24"/>
          <w:szCs w:val="24"/>
        </w:rPr>
        <w:t>emia.</w:t>
      </w:r>
    </w:p>
    <w:p w14:paraId="0FC9D90C" w14:textId="76E39AB7" w:rsidR="00E334AB" w:rsidRDefault="00E334AB" w:rsidP="003858C4">
      <w:pPr>
        <w:tabs>
          <w:tab w:val="left" w:pos="3441"/>
        </w:tabs>
        <w:spacing w:line="480" w:lineRule="auto"/>
        <w:rPr>
          <w:rFonts w:ascii="Times New Roman" w:hAnsi="Times New Roman" w:cs="Times New Roman"/>
          <w:b/>
          <w:bCs/>
          <w:color w:val="0D0D0D" w:themeColor="text1" w:themeTint="F2"/>
          <w:sz w:val="24"/>
          <w:szCs w:val="24"/>
        </w:rPr>
      </w:pPr>
      <w:r w:rsidRPr="00842FE5">
        <w:rPr>
          <w:rFonts w:ascii="Times New Roman" w:hAnsi="Times New Roman" w:cs="Times New Roman"/>
          <w:b/>
          <w:bCs/>
          <w:color w:val="0D0D0D" w:themeColor="text1" w:themeTint="F2"/>
          <w:sz w:val="24"/>
          <w:szCs w:val="24"/>
        </w:rPr>
        <w:t>Acknowledgements</w:t>
      </w:r>
    </w:p>
    <w:p w14:paraId="14B34C67" w14:textId="5BA45E24" w:rsidR="007518BB" w:rsidRPr="00BB3656" w:rsidRDefault="00BB3656" w:rsidP="003858C4">
      <w:pPr>
        <w:tabs>
          <w:tab w:val="left" w:pos="3441"/>
        </w:tabs>
        <w:spacing w:line="480" w:lineRule="auto"/>
        <w:rPr>
          <w:rFonts w:ascii="Times New Roman" w:hAnsi="Times New Roman" w:cs="Times New Roman"/>
          <w:color w:val="0D0D0D" w:themeColor="text1" w:themeTint="F2"/>
          <w:sz w:val="24"/>
          <w:szCs w:val="24"/>
        </w:rPr>
      </w:pPr>
      <w:r w:rsidRPr="00BB3656">
        <w:rPr>
          <w:rFonts w:ascii="Times New Roman" w:hAnsi="Times New Roman" w:cs="Times New Roman"/>
          <w:color w:val="0D0D0D" w:themeColor="text1" w:themeTint="F2"/>
          <w:sz w:val="24"/>
          <w:szCs w:val="24"/>
        </w:rPr>
        <w:t>The authors are grateful to all study</w:t>
      </w:r>
      <w:r w:rsidR="002F416D">
        <w:rPr>
          <w:rFonts w:ascii="Times New Roman" w:hAnsi="Times New Roman" w:cs="Times New Roman"/>
          <w:color w:val="0D0D0D" w:themeColor="text1" w:themeTint="F2"/>
          <w:sz w:val="24"/>
          <w:szCs w:val="24"/>
        </w:rPr>
        <w:t xml:space="preserve"> participants and would like to thank all the trial staff and investigators who participated in data collection for the study</w:t>
      </w:r>
      <w:r w:rsidR="00130DDA">
        <w:rPr>
          <w:rFonts w:ascii="Times New Roman" w:hAnsi="Times New Roman" w:cs="Times New Roman"/>
          <w:color w:val="0D0D0D" w:themeColor="text1" w:themeTint="F2"/>
          <w:sz w:val="24"/>
          <w:szCs w:val="24"/>
        </w:rPr>
        <w:t xml:space="preserve"> (a list of all participating physicians is provided in </w:t>
      </w:r>
      <w:r w:rsidR="00130DDA" w:rsidRPr="004A51B9">
        <w:rPr>
          <w:rFonts w:ascii="Times New Roman" w:hAnsi="Times New Roman" w:cs="Times New Roman"/>
          <w:b/>
          <w:bCs/>
          <w:color w:val="0D0D0D" w:themeColor="text1" w:themeTint="F2"/>
          <w:sz w:val="24"/>
          <w:szCs w:val="24"/>
        </w:rPr>
        <w:t>Sup</w:t>
      </w:r>
      <w:r w:rsidR="004A51B9" w:rsidRPr="004A51B9">
        <w:rPr>
          <w:rFonts w:ascii="Times New Roman" w:hAnsi="Times New Roman" w:cs="Times New Roman"/>
          <w:b/>
          <w:bCs/>
          <w:color w:val="0D0D0D" w:themeColor="text1" w:themeTint="F2"/>
          <w:sz w:val="24"/>
          <w:szCs w:val="24"/>
        </w:rPr>
        <w:t>p</w:t>
      </w:r>
      <w:r w:rsidR="00130DDA" w:rsidRPr="004A51B9">
        <w:rPr>
          <w:rFonts w:ascii="Times New Roman" w:hAnsi="Times New Roman" w:cs="Times New Roman"/>
          <w:b/>
          <w:bCs/>
          <w:color w:val="0D0D0D" w:themeColor="text1" w:themeTint="F2"/>
          <w:sz w:val="24"/>
          <w:szCs w:val="24"/>
        </w:rPr>
        <w:t>lementary material Appendix I</w:t>
      </w:r>
      <w:r w:rsidR="00130DDA">
        <w:rPr>
          <w:rFonts w:ascii="Times New Roman" w:hAnsi="Times New Roman" w:cs="Times New Roman"/>
          <w:color w:val="0D0D0D" w:themeColor="text1" w:themeTint="F2"/>
          <w:sz w:val="24"/>
          <w:szCs w:val="24"/>
        </w:rPr>
        <w:t>)</w:t>
      </w:r>
    </w:p>
    <w:p w14:paraId="0CBAB9E5" w14:textId="77777777" w:rsidR="00754A56" w:rsidRPr="00842FE5" w:rsidRDefault="00754A56" w:rsidP="00754A56">
      <w:pPr>
        <w:spacing w:line="480" w:lineRule="auto"/>
        <w:rPr>
          <w:rFonts w:ascii="Times New Roman" w:hAnsi="Times New Roman" w:cs="Times New Roman"/>
          <w:i/>
          <w:iCs/>
          <w:color w:val="0D0D0D" w:themeColor="text1" w:themeTint="F2"/>
          <w:sz w:val="24"/>
          <w:szCs w:val="24"/>
        </w:rPr>
      </w:pPr>
      <w:r w:rsidRPr="00842FE5">
        <w:rPr>
          <w:rFonts w:ascii="Times New Roman" w:hAnsi="Times New Roman" w:cs="Times New Roman"/>
          <w:i/>
          <w:iCs/>
          <w:color w:val="0D0D0D" w:themeColor="text1" w:themeTint="F2"/>
          <w:sz w:val="24"/>
          <w:szCs w:val="24"/>
        </w:rPr>
        <w:t>Funding</w:t>
      </w:r>
    </w:p>
    <w:p w14:paraId="727A34DE" w14:textId="79E65A44" w:rsidR="00754A56" w:rsidRPr="00842FE5" w:rsidRDefault="00AA7EE1" w:rsidP="00754A56">
      <w:pPr>
        <w:spacing w:line="480" w:lineRule="auto"/>
        <w:rPr>
          <w:rFonts w:ascii="Times New Roman" w:hAnsi="Times New Roman" w:cs="Times New Roman"/>
          <w:b/>
          <w:bCs/>
          <w:color w:val="0D0D0D" w:themeColor="text1" w:themeTint="F2"/>
          <w:sz w:val="24"/>
          <w:szCs w:val="24"/>
        </w:rPr>
      </w:pPr>
      <w:r>
        <w:rPr>
          <w:rFonts w:ascii="Times New Roman" w:hAnsi="Times New Roman" w:cs="Times New Roman"/>
          <w:color w:val="0D0D0D" w:themeColor="text1" w:themeTint="F2"/>
          <w:sz w:val="24"/>
          <w:szCs w:val="24"/>
        </w:rPr>
        <w:t>Sponsorship for th</w:t>
      </w:r>
      <w:r w:rsidR="008137FD">
        <w:rPr>
          <w:rFonts w:ascii="Times New Roman" w:hAnsi="Times New Roman" w:cs="Times New Roman"/>
          <w:color w:val="0D0D0D" w:themeColor="text1" w:themeTint="F2"/>
          <w:sz w:val="24"/>
          <w:szCs w:val="24"/>
        </w:rPr>
        <w:t>e ARTEMIS-DM</w:t>
      </w:r>
      <w:r>
        <w:rPr>
          <w:rFonts w:ascii="Times New Roman" w:hAnsi="Times New Roman" w:cs="Times New Roman"/>
          <w:color w:val="0D0D0D" w:themeColor="text1" w:themeTint="F2"/>
          <w:sz w:val="24"/>
          <w:szCs w:val="24"/>
        </w:rPr>
        <w:t xml:space="preserve"> study and </w:t>
      </w:r>
      <w:r w:rsidR="008137FD">
        <w:rPr>
          <w:rFonts w:ascii="Times New Roman" w:hAnsi="Times New Roman" w:cs="Times New Roman"/>
          <w:color w:val="0D0D0D" w:themeColor="text1" w:themeTint="F2"/>
          <w:sz w:val="24"/>
          <w:szCs w:val="24"/>
        </w:rPr>
        <w:t xml:space="preserve">the </w:t>
      </w:r>
      <w:r w:rsidR="00D52CB8">
        <w:rPr>
          <w:rFonts w:ascii="Times New Roman" w:hAnsi="Times New Roman" w:cs="Times New Roman"/>
          <w:color w:val="0D0D0D" w:themeColor="text1" w:themeTint="F2"/>
          <w:sz w:val="24"/>
          <w:szCs w:val="24"/>
        </w:rPr>
        <w:t>r</w:t>
      </w:r>
      <w:r>
        <w:rPr>
          <w:rFonts w:ascii="Times New Roman" w:hAnsi="Times New Roman" w:cs="Times New Roman"/>
          <w:color w:val="0D0D0D" w:themeColor="text1" w:themeTint="F2"/>
          <w:sz w:val="24"/>
          <w:szCs w:val="24"/>
        </w:rPr>
        <w:t xml:space="preserve">apid </w:t>
      </w:r>
      <w:r w:rsidR="00D52CB8">
        <w:rPr>
          <w:rFonts w:ascii="Times New Roman" w:hAnsi="Times New Roman" w:cs="Times New Roman"/>
          <w:color w:val="0D0D0D" w:themeColor="text1" w:themeTint="F2"/>
          <w:sz w:val="24"/>
          <w:szCs w:val="24"/>
        </w:rPr>
        <w:t>s</w:t>
      </w:r>
      <w:r>
        <w:rPr>
          <w:rFonts w:ascii="Times New Roman" w:hAnsi="Times New Roman" w:cs="Times New Roman"/>
          <w:color w:val="0D0D0D" w:themeColor="text1" w:themeTint="F2"/>
          <w:sz w:val="24"/>
          <w:szCs w:val="24"/>
        </w:rPr>
        <w:t xml:space="preserve">ervice </w:t>
      </w:r>
      <w:r w:rsidR="00D52CB8">
        <w:rPr>
          <w:rFonts w:ascii="Times New Roman" w:hAnsi="Times New Roman" w:cs="Times New Roman"/>
          <w:color w:val="0D0D0D" w:themeColor="text1" w:themeTint="F2"/>
          <w:sz w:val="24"/>
          <w:szCs w:val="24"/>
        </w:rPr>
        <w:t>f</w:t>
      </w:r>
      <w:r>
        <w:rPr>
          <w:rFonts w:ascii="Times New Roman" w:hAnsi="Times New Roman" w:cs="Times New Roman"/>
          <w:color w:val="0D0D0D" w:themeColor="text1" w:themeTint="F2"/>
          <w:sz w:val="24"/>
          <w:szCs w:val="24"/>
        </w:rPr>
        <w:t>ee</w:t>
      </w:r>
      <w:r w:rsidR="00390F74">
        <w:rPr>
          <w:rFonts w:ascii="Times New Roman" w:hAnsi="Times New Roman" w:cs="Times New Roman"/>
          <w:color w:val="0D0D0D" w:themeColor="text1" w:themeTint="F2"/>
          <w:sz w:val="24"/>
          <w:szCs w:val="24"/>
        </w:rPr>
        <w:t xml:space="preserve"> for this publication</w:t>
      </w:r>
      <w:r>
        <w:rPr>
          <w:rFonts w:ascii="Times New Roman" w:hAnsi="Times New Roman" w:cs="Times New Roman"/>
          <w:color w:val="0D0D0D" w:themeColor="text1" w:themeTint="F2"/>
          <w:sz w:val="24"/>
          <w:szCs w:val="24"/>
        </w:rPr>
        <w:t xml:space="preserve"> w</w:t>
      </w:r>
      <w:r w:rsidR="006F6A2D">
        <w:rPr>
          <w:rFonts w:ascii="Times New Roman" w:hAnsi="Times New Roman" w:cs="Times New Roman"/>
          <w:color w:val="0D0D0D" w:themeColor="text1" w:themeTint="F2"/>
          <w:sz w:val="24"/>
          <w:szCs w:val="24"/>
        </w:rPr>
        <w:t>as</w:t>
      </w:r>
      <w:r>
        <w:rPr>
          <w:rFonts w:ascii="Times New Roman" w:hAnsi="Times New Roman" w:cs="Times New Roman"/>
          <w:color w:val="0D0D0D" w:themeColor="text1" w:themeTint="F2"/>
          <w:sz w:val="24"/>
          <w:szCs w:val="24"/>
        </w:rPr>
        <w:t xml:space="preserve"> funded </w:t>
      </w:r>
      <w:r w:rsidR="00754A56" w:rsidRPr="00842FE5">
        <w:rPr>
          <w:rFonts w:ascii="Times New Roman" w:hAnsi="Times New Roman" w:cs="Times New Roman"/>
          <w:color w:val="0D0D0D" w:themeColor="text1" w:themeTint="F2"/>
          <w:sz w:val="24"/>
          <w:szCs w:val="24"/>
        </w:rPr>
        <w:t>by Sanofi</w:t>
      </w:r>
      <w:r w:rsidR="005E39AF" w:rsidRPr="00842FE5">
        <w:rPr>
          <w:rFonts w:ascii="Times New Roman" w:hAnsi="Times New Roman" w:cs="Times New Roman"/>
          <w:color w:val="0D0D0D" w:themeColor="text1" w:themeTint="F2"/>
          <w:sz w:val="24"/>
          <w:szCs w:val="24"/>
        </w:rPr>
        <w:t>,</w:t>
      </w:r>
      <w:r w:rsidR="00754A56" w:rsidRPr="00842FE5">
        <w:rPr>
          <w:rFonts w:ascii="Times New Roman" w:hAnsi="Times New Roman" w:cs="Times New Roman"/>
          <w:color w:val="0D0D0D" w:themeColor="text1" w:themeTint="F2"/>
          <w:sz w:val="24"/>
          <w:szCs w:val="24"/>
        </w:rPr>
        <w:t xml:space="preserve"> Paris, France.</w:t>
      </w:r>
      <w:r w:rsidR="00D72098">
        <w:rPr>
          <w:rFonts w:ascii="Times New Roman" w:hAnsi="Times New Roman" w:cs="Times New Roman"/>
          <w:color w:val="0D0D0D" w:themeColor="text1" w:themeTint="F2"/>
          <w:sz w:val="24"/>
          <w:szCs w:val="24"/>
        </w:rPr>
        <w:t xml:space="preserve"> </w:t>
      </w:r>
    </w:p>
    <w:p w14:paraId="65EF6868" w14:textId="77777777" w:rsidR="00754A56" w:rsidRPr="00842FE5" w:rsidRDefault="00754A56" w:rsidP="003858C4">
      <w:pPr>
        <w:spacing w:line="480" w:lineRule="auto"/>
        <w:rPr>
          <w:rFonts w:ascii="Times New Roman" w:hAnsi="Times New Roman" w:cs="Times New Roman"/>
          <w:i/>
          <w:iCs/>
          <w:color w:val="0D0D0D" w:themeColor="text1" w:themeTint="F2"/>
          <w:sz w:val="24"/>
          <w:szCs w:val="24"/>
        </w:rPr>
      </w:pPr>
      <w:r w:rsidRPr="00842FE5">
        <w:rPr>
          <w:rFonts w:ascii="Times New Roman" w:hAnsi="Times New Roman" w:cs="Times New Roman"/>
          <w:i/>
          <w:iCs/>
          <w:color w:val="0D0D0D" w:themeColor="text1" w:themeTint="F2"/>
          <w:sz w:val="24"/>
          <w:szCs w:val="24"/>
        </w:rPr>
        <w:t>Authorship</w:t>
      </w:r>
    </w:p>
    <w:p w14:paraId="65F7B981" w14:textId="77777777" w:rsidR="00645AA0" w:rsidRPr="00842FE5" w:rsidRDefault="00645AA0" w:rsidP="00645AA0">
      <w:pPr>
        <w:spacing w:line="480" w:lineRule="auto"/>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lastRenderedPageBreak/>
        <w:t>All named authors meet the International Committee of Medical Journal Editors (ICMJE) criteria</w:t>
      </w:r>
    </w:p>
    <w:p w14:paraId="6B947130" w14:textId="77777777" w:rsidR="00645AA0" w:rsidRPr="00842FE5" w:rsidRDefault="00645AA0" w:rsidP="00645AA0">
      <w:pPr>
        <w:spacing w:line="480" w:lineRule="auto"/>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for authorship for this article, take responsibility for the integrity of the work as a whole, and have</w:t>
      </w:r>
    </w:p>
    <w:p w14:paraId="38C72AC9" w14:textId="5EBB62DA" w:rsidR="00645AA0" w:rsidRPr="00842FE5" w:rsidRDefault="00645AA0" w:rsidP="00645AA0">
      <w:pPr>
        <w:spacing w:line="480" w:lineRule="auto"/>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given their approval for this version to be published.</w:t>
      </w:r>
    </w:p>
    <w:p w14:paraId="55CC1E36" w14:textId="3A272B84" w:rsidR="00645AA0" w:rsidRPr="00842FE5" w:rsidRDefault="00645AA0" w:rsidP="00645AA0">
      <w:pPr>
        <w:spacing w:line="480" w:lineRule="auto"/>
        <w:rPr>
          <w:rFonts w:ascii="Times New Roman" w:hAnsi="Times New Roman" w:cs="Times New Roman"/>
          <w:i/>
          <w:iCs/>
          <w:color w:val="0D0D0D" w:themeColor="text1" w:themeTint="F2"/>
          <w:sz w:val="24"/>
          <w:szCs w:val="24"/>
        </w:rPr>
      </w:pPr>
      <w:r w:rsidRPr="00842FE5">
        <w:rPr>
          <w:rFonts w:ascii="Times New Roman" w:hAnsi="Times New Roman" w:cs="Times New Roman"/>
          <w:i/>
          <w:iCs/>
          <w:color w:val="0D0D0D" w:themeColor="text1" w:themeTint="F2"/>
          <w:sz w:val="24"/>
          <w:szCs w:val="24"/>
        </w:rPr>
        <w:t>Author contribution</w:t>
      </w:r>
      <w:r w:rsidR="001A4B5F">
        <w:rPr>
          <w:rFonts w:ascii="Times New Roman" w:hAnsi="Times New Roman" w:cs="Times New Roman"/>
          <w:i/>
          <w:iCs/>
          <w:color w:val="0D0D0D" w:themeColor="text1" w:themeTint="F2"/>
          <w:sz w:val="24"/>
          <w:szCs w:val="24"/>
        </w:rPr>
        <w:t>s</w:t>
      </w:r>
    </w:p>
    <w:p w14:paraId="27BA7B59" w14:textId="4B0915EE" w:rsidR="003C4E5C" w:rsidRPr="00842FE5" w:rsidRDefault="003C4E5C" w:rsidP="003C4E5C">
      <w:pPr>
        <w:spacing w:line="480" w:lineRule="auto"/>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 xml:space="preserve">Conceptualization and Methodology: </w:t>
      </w:r>
      <w:r w:rsidR="00BD0BB8" w:rsidRPr="00842FE5">
        <w:rPr>
          <w:rFonts w:ascii="Times New Roman" w:hAnsi="Times New Roman" w:cs="Times New Roman"/>
          <w:color w:val="0D0D0D" w:themeColor="text1" w:themeTint="F2"/>
          <w:sz w:val="24"/>
          <w:szCs w:val="24"/>
        </w:rPr>
        <w:t xml:space="preserve">Bipin Sethi, Gustavo Frechtel, </w:t>
      </w:r>
      <w:r w:rsidRPr="00842FE5">
        <w:rPr>
          <w:rFonts w:ascii="Times New Roman" w:hAnsi="Times New Roman" w:cs="Times New Roman"/>
          <w:color w:val="0D0D0D" w:themeColor="text1" w:themeTint="F2"/>
          <w:sz w:val="24"/>
          <w:szCs w:val="24"/>
        </w:rPr>
        <w:t>Maria Aileen Mabunay, Valerie Pilorget, Baptiste Berthou; Investigation: Bipin Sethi, Gustavo Frechtel, Khalid Al-Rubeaan, Mustafa Unubol, Shireene R Vethakkan; Formal analysis: Maria Aileen Mabunay, Valerie Pilorget, Baptiste Berthou.</w:t>
      </w:r>
      <w:r w:rsidRPr="00842FE5" w:rsidDel="006016E5">
        <w:rPr>
          <w:rFonts w:ascii="Times New Roman" w:hAnsi="Times New Roman" w:cs="Times New Roman"/>
          <w:color w:val="0D0D0D" w:themeColor="text1" w:themeTint="F2"/>
          <w:sz w:val="24"/>
          <w:szCs w:val="24"/>
        </w:rPr>
        <w:t xml:space="preserve"> </w:t>
      </w:r>
      <w:r w:rsidRPr="00842FE5">
        <w:rPr>
          <w:rFonts w:ascii="Times New Roman" w:hAnsi="Times New Roman" w:cs="Times New Roman"/>
          <w:color w:val="0D0D0D" w:themeColor="text1" w:themeTint="F2"/>
          <w:sz w:val="24"/>
          <w:szCs w:val="24"/>
        </w:rPr>
        <w:t xml:space="preserve">All authors contributed to the data interpretation, drafting, critical review, and revision of the manuscript and read and approved the final draft for submission. </w:t>
      </w:r>
    </w:p>
    <w:p w14:paraId="3D6A07D0" w14:textId="3669338C" w:rsidR="003C4E5C" w:rsidRPr="00842FE5" w:rsidRDefault="00F15E11" w:rsidP="00645AA0">
      <w:pPr>
        <w:spacing w:line="480" w:lineRule="auto"/>
        <w:rPr>
          <w:rFonts w:ascii="Times New Roman" w:hAnsi="Times New Roman" w:cs="Times New Roman"/>
          <w:i/>
          <w:iCs/>
          <w:color w:val="0D0D0D" w:themeColor="text1" w:themeTint="F2"/>
          <w:sz w:val="24"/>
          <w:szCs w:val="24"/>
        </w:rPr>
      </w:pPr>
      <w:r w:rsidRPr="00842FE5">
        <w:rPr>
          <w:rFonts w:ascii="Times New Roman" w:hAnsi="Times New Roman" w:cs="Times New Roman"/>
          <w:i/>
          <w:iCs/>
          <w:color w:val="0D0D0D" w:themeColor="text1" w:themeTint="F2"/>
          <w:sz w:val="24"/>
          <w:szCs w:val="24"/>
        </w:rPr>
        <w:t>Medical writing and editorial assistance</w:t>
      </w:r>
    </w:p>
    <w:p w14:paraId="47D757B7" w14:textId="1C9541B9" w:rsidR="009650AD" w:rsidRPr="00842FE5" w:rsidRDefault="009650AD" w:rsidP="009650AD">
      <w:pPr>
        <w:spacing w:line="480" w:lineRule="auto"/>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Coordination for the development of this manuscript and assistance with the revisions was provided by Sirisha Pedapudi, MSc, MS</w:t>
      </w:r>
      <w:r w:rsidR="00B93EC0" w:rsidRPr="00842FE5">
        <w:rPr>
          <w:rFonts w:ascii="Times New Roman" w:hAnsi="Times New Roman" w:cs="Times New Roman"/>
          <w:color w:val="0D0D0D" w:themeColor="text1" w:themeTint="F2"/>
          <w:sz w:val="24"/>
          <w:szCs w:val="24"/>
        </w:rPr>
        <w:t>,</w:t>
      </w:r>
      <w:r w:rsidRPr="00842FE5">
        <w:rPr>
          <w:rFonts w:ascii="Times New Roman" w:hAnsi="Times New Roman" w:cs="Times New Roman"/>
          <w:color w:val="0D0D0D" w:themeColor="text1" w:themeTint="F2"/>
          <w:sz w:val="24"/>
          <w:szCs w:val="24"/>
        </w:rPr>
        <w:t xml:space="preserve"> Sanofi. The authors acknowledged medical writing and editorial assistance provided by Silpi Mishra, M. Pharm</w:t>
      </w:r>
      <w:r w:rsidR="00D02DFC" w:rsidRPr="00842FE5">
        <w:rPr>
          <w:rFonts w:ascii="Times New Roman" w:hAnsi="Times New Roman" w:cs="Times New Roman"/>
          <w:color w:val="0D0D0D" w:themeColor="text1" w:themeTint="F2"/>
          <w:sz w:val="24"/>
          <w:szCs w:val="24"/>
        </w:rPr>
        <w:t xml:space="preserve"> and Jyothi Ramanathan</w:t>
      </w:r>
      <w:r w:rsidR="00E93DB0" w:rsidRPr="00842FE5">
        <w:rPr>
          <w:rFonts w:ascii="Times New Roman" w:hAnsi="Times New Roman" w:cs="Times New Roman"/>
          <w:color w:val="0D0D0D" w:themeColor="text1" w:themeTint="F2"/>
          <w:sz w:val="24"/>
          <w:szCs w:val="24"/>
        </w:rPr>
        <w:t xml:space="preserve">, Ph.D </w:t>
      </w:r>
      <w:r w:rsidR="00D02DFC" w:rsidRPr="00842FE5">
        <w:rPr>
          <w:rFonts w:ascii="Times New Roman" w:hAnsi="Times New Roman" w:cs="Times New Roman"/>
          <w:color w:val="0D0D0D" w:themeColor="text1" w:themeTint="F2"/>
          <w:sz w:val="24"/>
          <w:szCs w:val="24"/>
        </w:rPr>
        <w:t xml:space="preserve">who </w:t>
      </w:r>
      <w:r w:rsidR="00E93DB0" w:rsidRPr="00842FE5">
        <w:rPr>
          <w:rFonts w:ascii="Times New Roman" w:hAnsi="Times New Roman" w:cs="Times New Roman"/>
          <w:color w:val="0D0D0D" w:themeColor="text1" w:themeTint="F2"/>
          <w:sz w:val="24"/>
          <w:szCs w:val="24"/>
        </w:rPr>
        <w:t>are</w:t>
      </w:r>
      <w:r w:rsidR="00D02DFC" w:rsidRPr="00842FE5">
        <w:rPr>
          <w:rFonts w:ascii="Times New Roman" w:hAnsi="Times New Roman" w:cs="Times New Roman"/>
          <w:color w:val="0D0D0D" w:themeColor="text1" w:themeTint="F2"/>
          <w:sz w:val="24"/>
          <w:szCs w:val="24"/>
        </w:rPr>
        <w:t xml:space="preserve"> employee</w:t>
      </w:r>
      <w:r w:rsidR="00E93DB0" w:rsidRPr="00842FE5">
        <w:rPr>
          <w:rFonts w:ascii="Times New Roman" w:hAnsi="Times New Roman" w:cs="Times New Roman"/>
          <w:color w:val="0D0D0D" w:themeColor="text1" w:themeTint="F2"/>
          <w:sz w:val="24"/>
          <w:szCs w:val="24"/>
        </w:rPr>
        <w:t>s</w:t>
      </w:r>
      <w:r w:rsidR="00D02DFC" w:rsidRPr="00842FE5">
        <w:rPr>
          <w:rFonts w:ascii="Times New Roman" w:hAnsi="Times New Roman" w:cs="Times New Roman"/>
          <w:color w:val="0D0D0D" w:themeColor="text1" w:themeTint="F2"/>
          <w:sz w:val="24"/>
          <w:szCs w:val="24"/>
        </w:rPr>
        <w:t xml:space="preserve"> of Sanofi, India</w:t>
      </w:r>
      <w:r w:rsidRPr="00842FE5">
        <w:rPr>
          <w:rFonts w:ascii="Times New Roman" w:hAnsi="Times New Roman" w:cs="Times New Roman"/>
          <w:color w:val="0D0D0D" w:themeColor="text1" w:themeTint="F2"/>
          <w:sz w:val="24"/>
          <w:szCs w:val="24"/>
        </w:rPr>
        <w:t>.</w:t>
      </w:r>
    </w:p>
    <w:p w14:paraId="7CEB4A63" w14:textId="0C131ED0" w:rsidR="00F15E11" w:rsidRPr="00842FE5" w:rsidRDefault="009650AD" w:rsidP="00645AA0">
      <w:pPr>
        <w:spacing w:line="480" w:lineRule="auto"/>
        <w:rPr>
          <w:rFonts w:ascii="Times New Roman" w:hAnsi="Times New Roman" w:cs="Times New Roman"/>
          <w:i/>
          <w:iCs/>
          <w:color w:val="0D0D0D" w:themeColor="text1" w:themeTint="F2"/>
          <w:sz w:val="24"/>
          <w:szCs w:val="24"/>
        </w:rPr>
      </w:pPr>
      <w:r w:rsidRPr="00842FE5">
        <w:rPr>
          <w:rFonts w:ascii="Times New Roman" w:hAnsi="Times New Roman" w:cs="Times New Roman"/>
          <w:i/>
          <w:iCs/>
          <w:color w:val="0D0D0D" w:themeColor="text1" w:themeTint="F2"/>
          <w:sz w:val="24"/>
          <w:szCs w:val="24"/>
        </w:rPr>
        <w:t>Disclosures</w:t>
      </w:r>
    </w:p>
    <w:p w14:paraId="5491C70F" w14:textId="14150E1D" w:rsidR="002748C9" w:rsidRPr="00842FE5" w:rsidRDefault="002748C9" w:rsidP="00645AA0">
      <w:pPr>
        <w:spacing w:line="480" w:lineRule="auto"/>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 xml:space="preserve">Bipin Sethi is a member of </w:t>
      </w:r>
      <w:r w:rsidR="00BD6D88" w:rsidRPr="00842FE5">
        <w:rPr>
          <w:rFonts w:ascii="Times New Roman" w:hAnsi="Times New Roman" w:cs="Times New Roman"/>
          <w:color w:val="0D0D0D" w:themeColor="text1" w:themeTint="F2"/>
          <w:sz w:val="24"/>
          <w:szCs w:val="24"/>
        </w:rPr>
        <w:t xml:space="preserve">the </w:t>
      </w:r>
      <w:r w:rsidRPr="00842FE5">
        <w:rPr>
          <w:rFonts w:ascii="Times New Roman" w:hAnsi="Times New Roman" w:cs="Times New Roman"/>
          <w:color w:val="0D0D0D" w:themeColor="text1" w:themeTint="F2"/>
          <w:sz w:val="24"/>
          <w:szCs w:val="24"/>
        </w:rPr>
        <w:t xml:space="preserve">ARTEMIS Steering Committee and has been </w:t>
      </w:r>
      <w:r w:rsidR="00BD6D88" w:rsidRPr="00842FE5">
        <w:rPr>
          <w:rFonts w:ascii="Times New Roman" w:hAnsi="Times New Roman" w:cs="Times New Roman"/>
          <w:color w:val="0D0D0D" w:themeColor="text1" w:themeTint="F2"/>
          <w:sz w:val="24"/>
          <w:szCs w:val="24"/>
        </w:rPr>
        <w:t xml:space="preserve">a member of the </w:t>
      </w:r>
      <w:r w:rsidRPr="00842FE5">
        <w:rPr>
          <w:rFonts w:ascii="Times New Roman" w:hAnsi="Times New Roman" w:cs="Times New Roman"/>
          <w:color w:val="0D0D0D" w:themeColor="text1" w:themeTint="F2"/>
          <w:sz w:val="24"/>
          <w:szCs w:val="24"/>
        </w:rPr>
        <w:t>advisory board</w:t>
      </w:r>
      <w:r w:rsidR="00BD6D88" w:rsidRPr="00842FE5">
        <w:rPr>
          <w:rFonts w:ascii="Times New Roman" w:hAnsi="Times New Roman" w:cs="Times New Roman"/>
          <w:color w:val="0D0D0D" w:themeColor="text1" w:themeTint="F2"/>
          <w:sz w:val="24"/>
          <w:szCs w:val="24"/>
        </w:rPr>
        <w:t xml:space="preserve"> </w:t>
      </w:r>
      <w:r w:rsidRPr="00842FE5">
        <w:rPr>
          <w:rFonts w:ascii="Times New Roman" w:hAnsi="Times New Roman" w:cs="Times New Roman"/>
          <w:color w:val="0D0D0D" w:themeColor="text1" w:themeTint="F2"/>
          <w:sz w:val="24"/>
          <w:szCs w:val="24"/>
        </w:rPr>
        <w:t xml:space="preserve">or </w:t>
      </w:r>
      <w:r w:rsidR="00783BDF" w:rsidRPr="00842FE5">
        <w:rPr>
          <w:rFonts w:ascii="Times New Roman" w:hAnsi="Times New Roman" w:cs="Times New Roman"/>
          <w:color w:val="0D0D0D" w:themeColor="text1" w:themeTint="F2"/>
          <w:sz w:val="24"/>
          <w:szCs w:val="24"/>
        </w:rPr>
        <w:t xml:space="preserve">received </w:t>
      </w:r>
      <w:r w:rsidRPr="00842FE5">
        <w:rPr>
          <w:rFonts w:ascii="Times New Roman" w:hAnsi="Times New Roman" w:cs="Times New Roman"/>
          <w:color w:val="0D0D0D" w:themeColor="text1" w:themeTint="F2"/>
          <w:sz w:val="24"/>
          <w:szCs w:val="24"/>
        </w:rPr>
        <w:t>speaker fees from Abbot, Bayer, Boehringer Ingelheim, MSD, USV and Novo Nordisk. Gustavo Frechtel is a member of</w:t>
      </w:r>
      <w:r w:rsidR="0045377E" w:rsidRPr="00842FE5">
        <w:rPr>
          <w:rFonts w:ascii="Times New Roman" w:hAnsi="Times New Roman" w:cs="Times New Roman"/>
          <w:color w:val="0D0D0D" w:themeColor="text1" w:themeTint="F2"/>
          <w:sz w:val="24"/>
          <w:szCs w:val="24"/>
        </w:rPr>
        <w:t xml:space="preserve"> the </w:t>
      </w:r>
      <w:r w:rsidRPr="00842FE5">
        <w:rPr>
          <w:rFonts w:ascii="Times New Roman" w:hAnsi="Times New Roman" w:cs="Times New Roman"/>
          <w:color w:val="0D0D0D" w:themeColor="text1" w:themeTint="F2"/>
          <w:sz w:val="24"/>
          <w:szCs w:val="24"/>
        </w:rPr>
        <w:t xml:space="preserve">ARTEMIS Steering Committee and has been a consultant and </w:t>
      </w:r>
      <w:r w:rsidR="00195D1A" w:rsidRPr="00842FE5">
        <w:rPr>
          <w:rFonts w:ascii="Times New Roman" w:hAnsi="Times New Roman" w:cs="Times New Roman"/>
          <w:color w:val="0D0D0D" w:themeColor="text1" w:themeTint="F2"/>
          <w:sz w:val="24"/>
          <w:szCs w:val="24"/>
        </w:rPr>
        <w:t xml:space="preserve">member of </w:t>
      </w:r>
      <w:r w:rsidR="00C54AF3" w:rsidRPr="00842FE5">
        <w:rPr>
          <w:rFonts w:ascii="Times New Roman" w:hAnsi="Times New Roman" w:cs="Times New Roman"/>
          <w:color w:val="0D0D0D" w:themeColor="text1" w:themeTint="F2"/>
          <w:sz w:val="24"/>
          <w:szCs w:val="24"/>
        </w:rPr>
        <w:t xml:space="preserve">the </w:t>
      </w:r>
      <w:r w:rsidRPr="00842FE5">
        <w:rPr>
          <w:rFonts w:ascii="Times New Roman" w:hAnsi="Times New Roman" w:cs="Times New Roman"/>
          <w:color w:val="0D0D0D" w:themeColor="text1" w:themeTint="F2"/>
          <w:sz w:val="24"/>
          <w:szCs w:val="24"/>
        </w:rPr>
        <w:t xml:space="preserve">advisory board or </w:t>
      </w:r>
      <w:r w:rsidR="00C54AF3" w:rsidRPr="00842FE5">
        <w:rPr>
          <w:rFonts w:ascii="Times New Roman" w:hAnsi="Times New Roman" w:cs="Times New Roman"/>
          <w:color w:val="0D0D0D" w:themeColor="text1" w:themeTint="F2"/>
          <w:sz w:val="24"/>
          <w:szCs w:val="24"/>
        </w:rPr>
        <w:t xml:space="preserve">received </w:t>
      </w:r>
      <w:r w:rsidRPr="00842FE5">
        <w:rPr>
          <w:rFonts w:ascii="Times New Roman" w:hAnsi="Times New Roman" w:cs="Times New Roman"/>
          <w:color w:val="0D0D0D" w:themeColor="text1" w:themeTint="F2"/>
          <w:sz w:val="24"/>
          <w:szCs w:val="24"/>
        </w:rPr>
        <w:t xml:space="preserve">speaker fees from Astra Zéneca, Boerhinger, Craveri, Eli Lilly, Merck Sharp </w:t>
      </w:r>
      <w:r w:rsidR="004C43AF" w:rsidRPr="00842FE5">
        <w:rPr>
          <w:rFonts w:ascii="Times New Roman" w:hAnsi="Times New Roman" w:cs="Times New Roman"/>
          <w:color w:val="0D0D0D" w:themeColor="text1" w:themeTint="F2"/>
          <w:sz w:val="24"/>
          <w:szCs w:val="24"/>
        </w:rPr>
        <w:t>and Dome</w:t>
      </w:r>
      <w:r w:rsidRPr="00842FE5">
        <w:rPr>
          <w:rFonts w:ascii="Times New Roman" w:hAnsi="Times New Roman" w:cs="Times New Roman"/>
          <w:color w:val="0D0D0D" w:themeColor="text1" w:themeTint="F2"/>
          <w:sz w:val="24"/>
          <w:szCs w:val="24"/>
        </w:rPr>
        <w:t xml:space="preserve">, Montpellier, Novartis, Novo Nordisk, Sanofi, Takeda. Khalid Al-Rubeaan has received research grant from Sanofi. Mustafa Unubol </w:t>
      </w:r>
      <w:r w:rsidR="00FC39EB" w:rsidRPr="00842FE5">
        <w:rPr>
          <w:rFonts w:ascii="Times New Roman" w:hAnsi="Times New Roman" w:cs="Times New Roman"/>
          <w:color w:val="0D0D0D" w:themeColor="text1" w:themeTint="F2"/>
          <w:sz w:val="24"/>
          <w:szCs w:val="24"/>
        </w:rPr>
        <w:t>has</w:t>
      </w:r>
      <w:r w:rsidR="00A55328" w:rsidRPr="00842FE5">
        <w:rPr>
          <w:rFonts w:ascii="Times New Roman" w:hAnsi="Times New Roman" w:cs="Times New Roman"/>
          <w:color w:val="0D0D0D" w:themeColor="text1" w:themeTint="F2"/>
          <w:sz w:val="24"/>
          <w:szCs w:val="24"/>
        </w:rPr>
        <w:t xml:space="preserve"> been a member of the </w:t>
      </w:r>
      <w:r w:rsidRPr="00842FE5">
        <w:rPr>
          <w:rFonts w:ascii="Times New Roman" w:hAnsi="Times New Roman" w:cs="Times New Roman"/>
          <w:color w:val="0D0D0D" w:themeColor="text1" w:themeTint="F2"/>
          <w:sz w:val="24"/>
          <w:szCs w:val="24"/>
        </w:rPr>
        <w:t>advisory board or speaker fees from Boehringer Ingelheim, MSD, Novo Nordisk, Eli Lilly, Novartis, Sanofi, Bilim, Sanovel. Shireene R Vethakkan</w:t>
      </w:r>
      <w:r w:rsidR="00A63DF9" w:rsidRPr="00842FE5">
        <w:rPr>
          <w:rFonts w:ascii="Times New Roman" w:hAnsi="Times New Roman" w:cs="Times New Roman"/>
          <w:color w:val="0D0D0D" w:themeColor="text1" w:themeTint="F2"/>
          <w:sz w:val="24"/>
          <w:szCs w:val="24"/>
        </w:rPr>
        <w:t xml:space="preserve"> has nothing to disclose</w:t>
      </w:r>
      <w:r w:rsidRPr="00842FE5">
        <w:rPr>
          <w:rFonts w:ascii="Times New Roman" w:hAnsi="Times New Roman" w:cs="Times New Roman"/>
          <w:color w:val="0D0D0D" w:themeColor="text1" w:themeTint="F2"/>
          <w:sz w:val="24"/>
          <w:szCs w:val="24"/>
        </w:rPr>
        <w:t>.</w:t>
      </w:r>
      <w:r w:rsidRPr="00842FE5">
        <w:rPr>
          <w:rFonts w:ascii="Times New Roman" w:hAnsi="Times New Roman" w:cs="Times New Roman"/>
          <w:b/>
          <w:bCs/>
          <w:color w:val="0D0D0D" w:themeColor="text1" w:themeTint="F2"/>
          <w:sz w:val="24"/>
          <w:szCs w:val="24"/>
        </w:rPr>
        <w:t xml:space="preserve"> </w:t>
      </w:r>
      <w:r w:rsidRPr="00842FE5">
        <w:rPr>
          <w:rFonts w:ascii="Times New Roman" w:hAnsi="Times New Roman" w:cs="Times New Roman"/>
          <w:color w:val="0D0D0D" w:themeColor="text1" w:themeTint="F2"/>
          <w:sz w:val="24"/>
          <w:szCs w:val="24"/>
        </w:rPr>
        <w:t>Baptiste Berthou</w:t>
      </w:r>
      <w:r w:rsidRPr="00842FE5">
        <w:rPr>
          <w:rFonts w:ascii="Times New Roman" w:hAnsi="Times New Roman" w:cs="Times New Roman"/>
          <w:b/>
          <w:bCs/>
          <w:color w:val="0D0D0D" w:themeColor="text1" w:themeTint="F2"/>
          <w:sz w:val="24"/>
          <w:szCs w:val="24"/>
        </w:rPr>
        <w:t xml:space="preserve"> </w:t>
      </w:r>
      <w:r w:rsidRPr="00842FE5">
        <w:rPr>
          <w:rFonts w:ascii="Times New Roman" w:hAnsi="Times New Roman" w:cs="Times New Roman"/>
          <w:color w:val="0D0D0D" w:themeColor="text1" w:themeTint="F2"/>
          <w:sz w:val="24"/>
          <w:szCs w:val="24"/>
        </w:rPr>
        <w:t xml:space="preserve">is an employee of IT&amp;M Stats contracted </w:t>
      </w:r>
      <w:r w:rsidRPr="00842FE5">
        <w:rPr>
          <w:rFonts w:ascii="Times New Roman" w:hAnsi="Times New Roman" w:cs="Times New Roman"/>
          <w:color w:val="0D0D0D" w:themeColor="text1" w:themeTint="F2"/>
          <w:sz w:val="24"/>
          <w:szCs w:val="24"/>
        </w:rPr>
        <w:lastRenderedPageBreak/>
        <w:t>full-time to Sanofi. Maria Aileen Mabunay, Valerie Pilorget</w:t>
      </w:r>
      <w:r w:rsidR="000E7E19" w:rsidRPr="00842FE5">
        <w:rPr>
          <w:rFonts w:ascii="Times New Roman" w:hAnsi="Times New Roman" w:cs="Times New Roman"/>
          <w:color w:val="0D0D0D" w:themeColor="text1" w:themeTint="F2"/>
          <w:sz w:val="24"/>
          <w:szCs w:val="24"/>
        </w:rPr>
        <w:t xml:space="preserve"> and</w:t>
      </w:r>
      <w:r w:rsidRPr="00842FE5">
        <w:rPr>
          <w:rFonts w:ascii="Times New Roman" w:hAnsi="Times New Roman" w:cs="Times New Roman"/>
          <w:color w:val="0D0D0D" w:themeColor="text1" w:themeTint="F2"/>
          <w:sz w:val="24"/>
          <w:szCs w:val="24"/>
        </w:rPr>
        <w:t xml:space="preserve"> </w:t>
      </w:r>
      <w:r w:rsidR="001208E7" w:rsidRPr="00842FE5">
        <w:rPr>
          <w:rFonts w:ascii="Times New Roman" w:hAnsi="Times New Roman" w:cs="Times New Roman"/>
          <w:color w:val="0D0D0D" w:themeColor="text1" w:themeTint="F2"/>
          <w:sz w:val="24"/>
          <w:szCs w:val="24"/>
        </w:rPr>
        <w:t>Baptiste Berthou</w:t>
      </w:r>
      <w:r w:rsidR="001208E7" w:rsidRPr="00842FE5" w:rsidDel="007463FA">
        <w:rPr>
          <w:rFonts w:ascii="Times New Roman" w:hAnsi="Times New Roman" w:cs="Times New Roman"/>
          <w:b/>
          <w:bCs/>
          <w:color w:val="0D0D0D" w:themeColor="text1" w:themeTint="F2"/>
          <w:sz w:val="24"/>
          <w:szCs w:val="24"/>
        </w:rPr>
        <w:t xml:space="preserve"> </w:t>
      </w:r>
      <w:r w:rsidR="001208E7" w:rsidRPr="00842FE5">
        <w:rPr>
          <w:rFonts w:ascii="Times New Roman" w:hAnsi="Times New Roman" w:cs="Times New Roman"/>
          <w:color w:val="0D0D0D" w:themeColor="text1" w:themeTint="F2"/>
          <w:sz w:val="24"/>
          <w:szCs w:val="24"/>
        </w:rPr>
        <w:t xml:space="preserve">are employees </w:t>
      </w:r>
      <w:r w:rsidR="00AC6730" w:rsidRPr="00842FE5">
        <w:rPr>
          <w:rFonts w:ascii="Times New Roman" w:hAnsi="Times New Roman" w:cs="Times New Roman"/>
          <w:color w:val="0D0D0D" w:themeColor="text1" w:themeTint="F2"/>
          <w:sz w:val="24"/>
          <w:szCs w:val="24"/>
        </w:rPr>
        <w:t xml:space="preserve">of Sanofi </w:t>
      </w:r>
      <w:r w:rsidR="001208E7" w:rsidRPr="00842FE5">
        <w:rPr>
          <w:rFonts w:ascii="Times New Roman" w:hAnsi="Times New Roman" w:cs="Times New Roman"/>
          <w:color w:val="0D0D0D" w:themeColor="text1" w:themeTint="F2"/>
          <w:sz w:val="24"/>
          <w:szCs w:val="24"/>
        </w:rPr>
        <w:t>and may hold Sanofi stock/shares</w:t>
      </w:r>
      <w:r w:rsidRPr="00842FE5">
        <w:rPr>
          <w:rFonts w:ascii="Times New Roman" w:hAnsi="Times New Roman" w:cs="Times New Roman"/>
          <w:color w:val="0D0D0D" w:themeColor="text1" w:themeTint="F2"/>
          <w:sz w:val="24"/>
          <w:szCs w:val="24"/>
        </w:rPr>
        <w:t>.</w:t>
      </w:r>
    </w:p>
    <w:p w14:paraId="5FF5A8F0" w14:textId="77777777" w:rsidR="004A7F49" w:rsidRPr="00842FE5" w:rsidRDefault="004A7F49" w:rsidP="004A7F49">
      <w:pPr>
        <w:tabs>
          <w:tab w:val="left" w:pos="3441"/>
        </w:tabs>
        <w:spacing w:line="480" w:lineRule="auto"/>
        <w:rPr>
          <w:rFonts w:ascii="Times New Roman" w:hAnsi="Times New Roman" w:cs="Times New Roman"/>
          <w:i/>
          <w:iCs/>
          <w:color w:val="0D0D0D" w:themeColor="text1" w:themeTint="F2"/>
          <w:sz w:val="24"/>
          <w:szCs w:val="24"/>
        </w:rPr>
      </w:pPr>
      <w:r w:rsidRPr="00842FE5">
        <w:rPr>
          <w:rFonts w:ascii="Times New Roman" w:hAnsi="Times New Roman" w:cs="Times New Roman"/>
          <w:i/>
          <w:iCs/>
          <w:color w:val="0D0D0D" w:themeColor="text1" w:themeTint="F2"/>
          <w:sz w:val="24"/>
          <w:szCs w:val="24"/>
        </w:rPr>
        <w:t>Compliance with ethics guidelines</w:t>
      </w:r>
    </w:p>
    <w:p w14:paraId="5CF31A73" w14:textId="1D61CC9F" w:rsidR="00EF103C" w:rsidRPr="00842FE5" w:rsidRDefault="00EF103C" w:rsidP="00EF103C">
      <w:pPr>
        <w:tabs>
          <w:tab w:val="left" w:pos="3441"/>
        </w:tabs>
        <w:spacing w:line="480" w:lineRule="auto"/>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The study protocol and other relevant study-related documents were approved by an institutional review board (IRB) or independent ethics committee (IEC) at each study centre</w:t>
      </w:r>
      <w:r w:rsidR="00CD3F5F">
        <w:rPr>
          <w:rFonts w:ascii="Times New Roman" w:hAnsi="Times New Roman" w:cs="Times New Roman"/>
          <w:color w:val="0D0D0D" w:themeColor="text1" w:themeTint="F2"/>
          <w:sz w:val="24"/>
          <w:szCs w:val="24"/>
        </w:rPr>
        <w:t xml:space="preserve"> (</w:t>
      </w:r>
      <w:r w:rsidR="00CD3F5F" w:rsidRPr="00CD3F5F">
        <w:rPr>
          <w:rFonts w:ascii="Times New Roman" w:hAnsi="Times New Roman" w:cs="Times New Roman"/>
          <w:b/>
          <w:bCs/>
          <w:color w:val="0D0D0D" w:themeColor="text1" w:themeTint="F2"/>
          <w:sz w:val="24"/>
          <w:szCs w:val="24"/>
        </w:rPr>
        <w:t>Supplementary material Appendix II</w:t>
      </w:r>
      <w:r w:rsidR="00CD3F5F">
        <w:rPr>
          <w:rFonts w:ascii="Times New Roman" w:hAnsi="Times New Roman" w:cs="Times New Roman"/>
          <w:color w:val="0D0D0D" w:themeColor="text1" w:themeTint="F2"/>
          <w:sz w:val="24"/>
          <w:szCs w:val="24"/>
        </w:rPr>
        <w:t>)</w:t>
      </w:r>
      <w:r w:rsidRPr="00842FE5">
        <w:rPr>
          <w:rFonts w:ascii="Times New Roman" w:hAnsi="Times New Roman" w:cs="Times New Roman"/>
          <w:color w:val="0D0D0D" w:themeColor="text1" w:themeTint="F2"/>
          <w:sz w:val="24"/>
          <w:szCs w:val="24"/>
        </w:rPr>
        <w:t>. The study was conducted in accordance with the approved protocol, ethical standards derived from international guidelines including the Declaration of Helsinki and Council for International Organizations of Medical Sciences International Ethical Guidelines and applicable International Council for Harmonisation (ICH) Good Clinical Practice (GCP) Guidelines. All participants provided written informed consent prior to participation in the study.</w:t>
      </w:r>
    </w:p>
    <w:p w14:paraId="4C7A0C7B" w14:textId="77ADADD7" w:rsidR="004A7F49" w:rsidRPr="00842FE5" w:rsidRDefault="004A7F49" w:rsidP="00EF103C">
      <w:pPr>
        <w:tabs>
          <w:tab w:val="left" w:pos="3441"/>
        </w:tabs>
        <w:spacing w:line="480" w:lineRule="auto"/>
        <w:rPr>
          <w:rFonts w:ascii="Times New Roman" w:hAnsi="Times New Roman" w:cs="Times New Roman"/>
          <w:i/>
          <w:iCs/>
          <w:color w:val="0D0D0D" w:themeColor="text1" w:themeTint="F2"/>
          <w:sz w:val="24"/>
          <w:szCs w:val="24"/>
        </w:rPr>
      </w:pPr>
      <w:r w:rsidRPr="00842FE5">
        <w:rPr>
          <w:rFonts w:ascii="Times New Roman" w:hAnsi="Times New Roman" w:cs="Times New Roman"/>
          <w:i/>
          <w:iCs/>
          <w:color w:val="0D0D0D" w:themeColor="text1" w:themeTint="F2"/>
          <w:sz w:val="24"/>
          <w:szCs w:val="24"/>
        </w:rPr>
        <w:t>Data availability</w:t>
      </w:r>
    </w:p>
    <w:p w14:paraId="23396172" w14:textId="77777777" w:rsidR="007A090F" w:rsidRDefault="0050135B" w:rsidP="004A7F49">
      <w:pPr>
        <w:tabs>
          <w:tab w:val="left" w:pos="3441"/>
        </w:tabs>
        <w:spacing w:line="480" w:lineRule="auto"/>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Qualified researchers may request access to patient-level data and related documents including the clinical study report, study protocol with any amendments, blank case report form, statistical analysis plan, and dataset specifications. Patient-level data will be anonymi</w:t>
      </w:r>
      <w:r w:rsidR="00353C25" w:rsidRPr="00842FE5">
        <w:rPr>
          <w:rFonts w:ascii="Times New Roman" w:hAnsi="Times New Roman" w:cs="Times New Roman"/>
          <w:color w:val="0D0D0D" w:themeColor="text1" w:themeTint="F2"/>
          <w:sz w:val="24"/>
          <w:szCs w:val="24"/>
        </w:rPr>
        <w:t>s</w:t>
      </w:r>
      <w:r w:rsidRPr="00842FE5">
        <w:rPr>
          <w:rFonts w:ascii="Times New Roman" w:hAnsi="Times New Roman" w:cs="Times New Roman"/>
          <w:color w:val="0D0D0D" w:themeColor="text1" w:themeTint="F2"/>
          <w:sz w:val="24"/>
          <w:szCs w:val="24"/>
        </w:rPr>
        <w:t>ed, and study documents will be redacted to protect the privacy of trial participants. Further details on Sanofi’s data sharing criteria</w:t>
      </w:r>
      <w:r w:rsidR="00A924C9" w:rsidRPr="00842FE5">
        <w:rPr>
          <w:rFonts w:ascii="Times New Roman" w:hAnsi="Times New Roman" w:cs="Times New Roman"/>
          <w:color w:val="0D0D0D" w:themeColor="text1" w:themeTint="F2"/>
          <w:sz w:val="24"/>
          <w:szCs w:val="24"/>
        </w:rPr>
        <w:t xml:space="preserve"> of Sanofi</w:t>
      </w:r>
      <w:r w:rsidRPr="00842FE5">
        <w:rPr>
          <w:rFonts w:ascii="Times New Roman" w:hAnsi="Times New Roman" w:cs="Times New Roman"/>
          <w:color w:val="0D0D0D" w:themeColor="text1" w:themeTint="F2"/>
          <w:sz w:val="24"/>
          <w:szCs w:val="24"/>
        </w:rPr>
        <w:t xml:space="preserve">, eligible studies, and process for requesting access can be found at </w:t>
      </w:r>
      <w:hyperlink r:id="rId9" w:history="1">
        <w:r w:rsidR="005C5430" w:rsidRPr="00842FE5">
          <w:rPr>
            <w:rStyle w:val="Hyperlink"/>
            <w:rFonts w:ascii="Times New Roman" w:hAnsi="Times New Roman" w:cs="Times New Roman"/>
            <w:color w:val="0D0D0D" w:themeColor="text1" w:themeTint="F2"/>
            <w:sz w:val="24"/>
            <w:szCs w:val="24"/>
          </w:rPr>
          <w:t>https://www.vivli.org/</w:t>
        </w:r>
      </w:hyperlink>
      <w:r w:rsidR="001559CB" w:rsidRPr="00842FE5">
        <w:rPr>
          <w:rFonts w:ascii="Times New Roman" w:hAnsi="Times New Roman" w:cs="Times New Roman"/>
          <w:color w:val="0D0D0D" w:themeColor="text1" w:themeTint="F2"/>
          <w:sz w:val="24"/>
          <w:szCs w:val="24"/>
        </w:rPr>
        <w:t>.</w:t>
      </w:r>
      <w:r w:rsidR="005C5430" w:rsidRPr="00842FE5">
        <w:rPr>
          <w:rFonts w:ascii="Times New Roman" w:hAnsi="Times New Roman" w:cs="Times New Roman"/>
          <w:color w:val="0D0D0D" w:themeColor="text1" w:themeTint="F2"/>
          <w:sz w:val="24"/>
          <w:szCs w:val="24"/>
        </w:rPr>
        <w:t xml:space="preserve"> </w:t>
      </w:r>
    </w:p>
    <w:p w14:paraId="7A245411" w14:textId="30074D9E" w:rsidR="00635903" w:rsidRPr="00635903" w:rsidRDefault="00635903" w:rsidP="004A7F49">
      <w:pPr>
        <w:tabs>
          <w:tab w:val="left" w:pos="3441"/>
        </w:tabs>
        <w:spacing w:line="480" w:lineRule="auto"/>
        <w:rPr>
          <w:rFonts w:ascii="Times New Roman" w:hAnsi="Times New Roman"/>
          <w:i/>
          <w:iCs/>
          <w:sz w:val="24"/>
          <w:szCs w:val="24"/>
        </w:rPr>
      </w:pPr>
      <w:r w:rsidRPr="00635903">
        <w:rPr>
          <w:rFonts w:ascii="Times New Roman" w:hAnsi="Times New Roman"/>
          <w:i/>
          <w:iCs/>
          <w:sz w:val="24"/>
          <w:szCs w:val="24"/>
        </w:rPr>
        <w:t>Prior Presentation</w:t>
      </w:r>
    </w:p>
    <w:p w14:paraId="4920C7EF" w14:textId="40F43B6C" w:rsidR="00516536" w:rsidRDefault="00635903" w:rsidP="004A7F49">
      <w:pPr>
        <w:tabs>
          <w:tab w:val="left" w:pos="3441"/>
        </w:tabs>
        <w:spacing w:line="480" w:lineRule="auto"/>
        <w:rPr>
          <w:rFonts w:ascii="Times New Roman" w:hAnsi="Times New Roman"/>
          <w:sz w:val="24"/>
          <w:szCs w:val="24"/>
        </w:rPr>
      </w:pPr>
      <w:r>
        <w:rPr>
          <w:rFonts w:ascii="Times New Roman" w:hAnsi="Times New Roman"/>
          <w:sz w:val="24"/>
          <w:szCs w:val="24"/>
        </w:rPr>
        <w:t>The primary results were first presented at 8</w:t>
      </w:r>
      <w:r w:rsidR="00380B8F">
        <w:rPr>
          <w:rFonts w:ascii="Times New Roman" w:hAnsi="Times New Roman"/>
          <w:sz w:val="24"/>
          <w:szCs w:val="24"/>
        </w:rPr>
        <w:t>1</w:t>
      </w:r>
      <w:r w:rsidR="00380B8F" w:rsidRPr="00380B8F">
        <w:rPr>
          <w:rFonts w:ascii="Times New Roman" w:hAnsi="Times New Roman"/>
          <w:sz w:val="24"/>
          <w:szCs w:val="24"/>
          <w:vertAlign w:val="superscript"/>
        </w:rPr>
        <w:t>st</w:t>
      </w:r>
      <w:r>
        <w:rPr>
          <w:rFonts w:ascii="Times New Roman" w:hAnsi="Times New Roman"/>
          <w:sz w:val="24"/>
          <w:szCs w:val="24"/>
        </w:rPr>
        <w:t xml:space="preserve"> Scientific Sessions American Diabetes Association.  Diabetes 2021;70(Supplement_1):737-P.</w:t>
      </w:r>
      <w:r w:rsidR="00516536">
        <w:rPr>
          <w:rFonts w:ascii="Times New Roman" w:hAnsi="Times New Roman"/>
          <w:sz w:val="24"/>
          <w:szCs w:val="24"/>
        </w:rPr>
        <w:t xml:space="preserve"> </w:t>
      </w:r>
      <w:r w:rsidR="00380B8F">
        <w:rPr>
          <w:rFonts w:ascii="Times New Roman" w:hAnsi="Times New Roman"/>
          <w:sz w:val="24"/>
          <w:szCs w:val="24"/>
        </w:rPr>
        <w:t>A</w:t>
      </w:r>
      <w:r w:rsidR="00D8524F">
        <w:rPr>
          <w:rFonts w:ascii="Times New Roman" w:hAnsi="Times New Roman"/>
          <w:sz w:val="24"/>
          <w:szCs w:val="24"/>
        </w:rPr>
        <w:t>dditionally, a</w:t>
      </w:r>
      <w:r w:rsidR="00516536">
        <w:rPr>
          <w:rFonts w:ascii="Times New Roman" w:hAnsi="Times New Roman"/>
          <w:sz w:val="24"/>
          <w:szCs w:val="24"/>
        </w:rPr>
        <w:t xml:space="preserve"> part of the data was </w:t>
      </w:r>
      <w:r w:rsidR="00E47852">
        <w:rPr>
          <w:rFonts w:ascii="Times New Roman" w:hAnsi="Times New Roman"/>
          <w:sz w:val="24"/>
          <w:szCs w:val="24"/>
        </w:rPr>
        <w:t xml:space="preserve">accepted for presentation </w:t>
      </w:r>
      <w:r w:rsidR="00516536">
        <w:rPr>
          <w:rFonts w:ascii="Times New Roman" w:hAnsi="Times New Roman"/>
          <w:sz w:val="24"/>
          <w:szCs w:val="24"/>
        </w:rPr>
        <w:t xml:space="preserve">at </w:t>
      </w:r>
      <w:r w:rsidR="00380B8F">
        <w:rPr>
          <w:rFonts w:ascii="Times New Roman" w:hAnsi="Times New Roman"/>
          <w:sz w:val="24"/>
          <w:szCs w:val="24"/>
        </w:rPr>
        <w:t>82</w:t>
      </w:r>
      <w:r w:rsidR="00380B8F">
        <w:rPr>
          <w:rFonts w:ascii="Times New Roman" w:hAnsi="Times New Roman"/>
          <w:sz w:val="24"/>
          <w:szCs w:val="24"/>
          <w:vertAlign w:val="superscript"/>
        </w:rPr>
        <w:t>nd</w:t>
      </w:r>
      <w:r w:rsidR="00380B8F">
        <w:rPr>
          <w:rFonts w:ascii="Times New Roman" w:hAnsi="Times New Roman"/>
          <w:sz w:val="24"/>
          <w:szCs w:val="24"/>
        </w:rPr>
        <w:t xml:space="preserve"> Scientific Sessions American Diabetes Association 2022.  </w:t>
      </w:r>
    </w:p>
    <w:p w14:paraId="0EAEAB3D" w14:textId="1C67120E" w:rsidR="00A678B6" w:rsidRPr="00842FE5" w:rsidRDefault="004649D8" w:rsidP="003858C4">
      <w:pPr>
        <w:tabs>
          <w:tab w:val="left" w:pos="3441"/>
        </w:tabs>
        <w:spacing w:line="480" w:lineRule="auto"/>
        <w:ind w:left="360"/>
        <w:rPr>
          <w:rFonts w:ascii="Times New Roman" w:hAnsi="Times New Roman" w:cs="Times New Roman"/>
          <w:b/>
          <w:bCs/>
          <w:color w:val="0D0D0D" w:themeColor="text1" w:themeTint="F2"/>
          <w:sz w:val="24"/>
          <w:szCs w:val="24"/>
        </w:rPr>
      </w:pPr>
      <w:r w:rsidRPr="00842FE5">
        <w:rPr>
          <w:rFonts w:ascii="Times New Roman" w:hAnsi="Times New Roman" w:cs="Times New Roman"/>
          <w:b/>
          <w:bCs/>
          <w:color w:val="0D0D0D" w:themeColor="text1" w:themeTint="F2"/>
          <w:sz w:val="24"/>
          <w:szCs w:val="24"/>
        </w:rPr>
        <w:t>References</w:t>
      </w:r>
      <w:r w:rsidR="00982590" w:rsidRPr="00842FE5">
        <w:rPr>
          <w:rFonts w:ascii="Times New Roman" w:hAnsi="Times New Roman" w:cs="Times New Roman"/>
          <w:b/>
          <w:bCs/>
          <w:color w:val="0D0D0D" w:themeColor="text1" w:themeTint="F2"/>
          <w:sz w:val="24"/>
          <w:szCs w:val="24"/>
        </w:rPr>
        <w:t xml:space="preserve"> </w:t>
      </w:r>
    </w:p>
    <w:p w14:paraId="5193335E" w14:textId="37E8D0BD" w:rsidR="00C033E5" w:rsidRPr="00842FE5" w:rsidRDefault="00C033E5" w:rsidP="00C033E5">
      <w:pPr>
        <w:pStyle w:val="ListParagraph"/>
        <w:numPr>
          <w:ilvl w:val="0"/>
          <w:numId w:val="17"/>
        </w:numPr>
        <w:spacing w:line="480" w:lineRule="auto"/>
        <w:ind w:left="0" w:hanging="284"/>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lastRenderedPageBreak/>
        <w:t>Madenidou AV, Paschos P, Karagiannis T,</w:t>
      </w:r>
      <w:r w:rsidR="00190714" w:rsidRPr="00842FE5">
        <w:rPr>
          <w:rFonts w:ascii="Times New Roman" w:hAnsi="Times New Roman" w:cs="Times New Roman"/>
          <w:color w:val="0D0D0D" w:themeColor="text1" w:themeTint="F2"/>
          <w:sz w:val="24"/>
          <w:szCs w:val="24"/>
        </w:rPr>
        <w:t xml:space="preserve"> Katsoula A, Athanasiadou E, Kitsios K, </w:t>
      </w:r>
      <w:r w:rsidRPr="00842FE5">
        <w:rPr>
          <w:rFonts w:ascii="Times New Roman" w:hAnsi="Times New Roman" w:cs="Times New Roman"/>
          <w:color w:val="0D0D0D" w:themeColor="text1" w:themeTint="F2"/>
          <w:sz w:val="24"/>
          <w:szCs w:val="24"/>
        </w:rPr>
        <w:t xml:space="preserve">et al. Comparative benefits and harms of basal insulin analogues for type 2 diabetes: A systematic review and network meta-analysis. Ann Intern Med. 2018;169(3):165–74. </w:t>
      </w:r>
    </w:p>
    <w:p w14:paraId="31A20494" w14:textId="1102FF0D" w:rsidR="00C033E5" w:rsidRPr="00842FE5" w:rsidRDefault="00C033E5" w:rsidP="00C033E5">
      <w:pPr>
        <w:pStyle w:val="ListParagraph"/>
        <w:numPr>
          <w:ilvl w:val="0"/>
          <w:numId w:val="17"/>
        </w:numPr>
        <w:spacing w:line="480" w:lineRule="auto"/>
        <w:ind w:left="0" w:hanging="284"/>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Davies MJ, D'Alessio DA, Fradkin J,</w:t>
      </w:r>
      <w:r w:rsidR="00795830" w:rsidRPr="00842FE5">
        <w:rPr>
          <w:rFonts w:ascii="Times New Roman" w:hAnsi="Times New Roman" w:cs="Times New Roman"/>
          <w:color w:val="0D0D0D" w:themeColor="text1" w:themeTint="F2"/>
          <w:sz w:val="24"/>
          <w:szCs w:val="24"/>
        </w:rPr>
        <w:t xml:space="preserve"> Kernan WN, Mathieu C, Mingrone G,</w:t>
      </w:r>
      <w:r w:rsidRPr="00842FE5">
        <w:rPr>
          <w:rFonts w:ascii="Times New Roman" w:hAnsi="Times New Roman" w:cs="Times New Roman"/>
          <w:color w:val="0D0D0D" w:themeColor="text1" w:themeTint="F2"/>
          <w:sz w:val="24"/>
          <w:szCs w:val="24"/>
        </w:rPr>
        <w:t xml:space="preserve"> et al. Management of hyperglycemia in type 2 diabetes, 2018. A Consensus Report by the American Diabetes Association (ADA) and the European Association for the Study of Diabetes (EASD). Diabetes Care. 2018;41:2669–701.</w:t>
      </w:r>
    </w:p>
    <w:p w14:paraId="2F966FEB" w14:textId="26FC154B" w:rsidR="00C033E5" w:rsidRPr="00842FE5" w:rsidRDefault="00C033E5" w:rsidP="00C033E5">
      <w:pPr>
        <w:pStyle w:val="ListParagraph"/>
        <w:numPr>
          <w:ilvl w:val="0"/>
          <w:numId w:val="17"/>
        </w:numPr>
        <w:spacing w:line="480" w:lineRule="auto"/>
        <w:ind w:left="0" w:hanging="284"/>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Lau IT, Lee KF, So WY</w:t>
      </w:r>
      <w:r w:rsidR="00A416EB" w:rsidRPr="00842FE5">
        <w:rPr>
          <w:rFonts w:ascii="Times New Roman" w:hAnsi="Times New Roman" w:cs="Times New Roman"/>
          <w:color w:val="0D0D0D" w:themeColor="text1" w:themeTint="F2"/>
          <w:sz w:val="24"/>
          <w:szCs w:val="24"/>
        </w:rPr>
        <w:t xml:space="preserve"> Tan K, Yeung VTF.</w:t>
      </w:r>
      <w:r w:rsidRPr="00842FE5">
        <w:rPr>
          <w:rFonts w:ascii="Times New Roman" w:hAnsi="Times New Roman" w:cs="Times New Roman"/>
          <w:color w:val="0D0D0D" w:themeColor="text1" w:themeTint="F2"/>
          <w:sz w:val="24"/>
          <w:szCs w:val="24"/>
        </w:rPr>
        <w:t xml:space="preserve"> Insulin glargine 300 U/mL for basal insulin therapy in type 1 and type 2 diabetes mellitus. Diabetes Metab Syndr Obes. 2017;10:273–84.</w:t>
      </w:r>
    </w:p>
    <w:p w14:paraId="39504F28" w14:textId="25F85269" w:rsidR="00C033E5" w:rsidRPr="00842FE5" w:rsidRDefault="00C033E5" w:rsidP="00C033E5">
      <w:pPr>
        <w:pStyle w:val="ListParagraph"/>
        <w:numPr>
          <w:ilvl w:val="0"/>
          <w:numId w:val="17"/>
        </w:numPr>
        <w:spacing w:line="480" w:lineRule="auto"/>
        <w:ind w:left="0" w:hanging="284"/>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Becker RH, Dahmen R, Bergmann K,</w:t>
      </w:r>
      <w:r w:rsidR="008935AB" w:rsidRPr="00842FE5">
        <w:rPr>
          <w:rFonts w:ascii="Times New Roman" w:hAnsi="Times New Roman" w:cs="Times New Roman"/>
          <w:color w:val="0D0D0D" w:themeColor="text1" w:themeTint="F2"/>
          <w:sz w:val="24"/>
          <w:szCs w:val="24"/>
        </w:rPr>
        <w:t xml:space="preserve"> Lehmann A, Jax T, Heise T.</w:t>
      </w:r>
      <w:r w:rsidRPr="00842FE5">
        <w:rPr>
          <w:rFonts w:ascii="Times New Roman" w:hAnsi="Times New Roman" w:cs="Times New Roman"/>
          <w:color w:val="0D0D0D" w:themeColor="text1" w:themeTint="F2"/>
          <w:sz w:val="24"/>
          <w:szCs w:val="24"/>
        </w:rPr>
        <w:t xml:space="preserve"> New insulin glargine 300 Units mL−1 provides a more even activity profile and prolonged glycemic control at steady state compared with insulin glargine 100 Units mL−1. Diabetes Care. 2015;38(4):637–43.</w:t>
      </w:r>
    </w:p>
    <w:p w14:paraId="58F981A1" w14:textId="6E6FF16E" w:rsidR="00C033E5" w:rsidRPr="00842FE5" w:rsidRDefault="00C033E5" w:rsidP="00C033E5">
      <w:pPr>
        <w:pStyle w:val="ListParagraph"/>
        <w:numPr>
          <w:ilvl w:val="0"/>
          <w:numId w:val="17"/>
        </w:numPr>
        <w:spacing w:line="480" w:lineRule="auto"/>
        <w:ind w:left="0" w:hanging="284"/>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Freemantle N, Mauricio D, Giaccari A,</w:t>
      </w:r>
      <w:r w:rsidR="00A27E3A" w:rsidRPr="00842FE5">
        <w:rPr>
          <w:rFonts w:ascii="Times New Roman" w:hAnsi="Times New Roman" w:cs="Times New Roman"/>
          <w:color w:val="0D0D0D" w:themeColor="text1" w:themeTint="F2"/>
          <w:sz w:val="24"/>
          <w:szCs w:val="24"/>
        </w:rPr>
        <w:t xml:space="preserve"> Bailey T, Roussel R, Franco D,</w:t>
      </w:r>
      <w:r w:rsidRPr="00842FE5">
        <w:rPr>
          <w:rFonts w:ascii="Times New Roman" w:hAnsi="Times New Roman" w:cs="Times New Roman"/>
          <w:color w:val="0D0D0D" w:themeColor="text1" w:themeTint="F2"/>
          <w:sz w:val="24"/>
          <w:szCs w:val="24"/>
        </w:rPr>
        <w:t xml:space="preserve"> et al. Real-world outcomes of treatment with insulin glargine 300 U/mL versus standard-of-care in people with uncontrolled type 2 diabetes mellitus. Curr Med Res Opin. 2020;36(4):571–81.</w:t>
      </w:r>
    </w:p>
    <w:p w14:paraId="76EEDDFE" w14:textId="427E5B30" w:rsidR="00C033E5" w:rsidRPr="00842FE5" w:rsidRDefault="00C033E5" w:rsidP="00C033E5">
      <w:pPr>
        <w:pStyle w:val="ListParagraph"/>
        <w:numPr>
          <w:ilvl w:val="0"/>
          <w:numId w:val="17"/>
        </w:numPr>
        <w:spacing w:line="480" w:lineRule="auto"/>
        <w:ind w:left="0" w:hanging="284"/>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Ragonese M, Larosa M, Angotti S,</w:t>
      </w:r>
      <w:r w:rsidR="00141534" w:rsidRPr="00842FE5">
        <w:rPr>
          <w:rFonts w:ascii="Times New Roman" w:hAnsi="Times New Roman" w:cs="Times New Roman"/>
          <w:color w:val="0D0D0D" w:themeColor="text1" w:themeTint="F2"/>
          <w:sz w:val="24"/>
          <w:szCs w:val="24"/>
        </w:rPr>
        <w:t xml:space="preserve"> Annese S, Cruciani L, Dainelli M, </w:t>
      </w:r>
      <w:r w:rsidRPr="00842FE5">
        <w:rPr>
          <w:rFonts w:ascii="Times New Roman" w:hAnsi="Times New Roman" w:cs="Times New Roman"/>
          <w:color w:val="0D0D0D" w:themeColor="text1" w:themeTint="F2"/>
          <w:sz w:val="24"/>
          <w:szCs w:val="24"/>
        </w:rPr>
        <w:t xml:space="preserve">et al. Clinical </w:t>
      </w:r>
      <w:r w:rsidR="00141534" w:rsidRPr="00842FE5">
        <w:rPr>
          <w:rFonts w:ascii="Times New Roman" w:hAnsi="Times New Roman" w:cs="Times New Roman"/>
          <w:color w:val="0D0D0D" w:themeColor="text1" w:themeTint="F2"/>
          <w:sz w:val="24"/>
          <w:szCs w:val="24"/>
        </w:rPr>
        <w:t xml:space="preserve">outcomes of switching to insulin glargine 300 u/ml from other basal insulins in people with type 2 diabetes in </w:t>
      </w:r>
      <w:r w:rsidRPr="00842FE5">
        <w:rPr>
          <w:rFonts w:ascii="Times New Roman" w:hAnsi="Times New Roman" w:cs="Times New Roman"/>
          <w:color w:val="0D0D0D" w:themeColor="text1" w:themeTint="F2"/>
          <w:sz w:val="24"/>
          <w:szCs w:val="24"/>
        </w:rPr>
        <w:t>Italy: A Real-World Study. Diabetes Ther. 2020;11(10):2283–98.</w:t>
      </w:r>
    </w:p>
    <w:p w14:paraId="3D391A06" w14:textId="77777777" w:rsidR="006A38E0" w:rsidRPr="00842FE5" w:rsidRDefault="00C033E5" w:rsidP="00382A26">
      <w:pPr>
        <w:pStyle w:val="ListParagraph"/>
        <w:numPr>
          <w:ilvl w:val="0"/>
          <w:numId w:val="17"/>
        </w:numPr>
        <w:spacing w:line="480" w:lineRule="auto"/>
        <w:ind w:left="0" w:hanging="284"/>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Pettus J, Roussel R, Liz Zhou F,</w:t>
      </w:r>
      <w:r w:rsidR="00847B38" w:rsidRPr="00842FE5">
        <w:rPr>
          <w:rFonts w:ascii="Times New Roman" w:hAnsi="Times New Roman" w:cs="Times New Roman"/>
          <w:color w:val="0D0D0D" w:themeColor="text1" w:themeTint="F2"/>
          <w:sz w:val="24"/>
          <w:szCs w:val="24"/>
        </w:rPr>
        <w:t xml:space="preserve"> Bosnyak Z, Westerbacka J, Berria R,</w:t>
      </w:r>
      <w:r w:rsidRPr="00842FE5">
        <w:rPr>
          <w:rFonts w:ascii="Times New Roman" w:hAnsi="Times New Roman" w:cs="Times New Roman"/>
          <w:color w:val="0D0D0D" w:themeColor="text1" w:themeTint="F2"/>
          <w:sz w:val="24"/>
          <w:szCs w:val="24"/>
        </w:rPr>
        <w:t xml:space="preserve"> et al. Rates of Hypoglycemia Predicted in Patients with Type 2 Diabetes on Insulin Glargine 300 U/ml Versus First- and Second-Generation Basal Insulin Analogs: The Real-World LIGHTNING Study. Diabetes Ther. 2019;10(2):617–33. </w:t>
      </w:r>
    </w:p>
    <w:p w14:paraId="1B2EC8FF" w14:textId="7550511B" w:rsidR="006A38E0" w:rsidRPr="00842FE5" w:rsidRDefault="00C033E5" w:rsidP="00382A26">
      <w:pPr>
        <w:pStyle w:val="ListParagraph"/>
        <w:numPr>
          <w:ilvl w:val="0"/>
          <w:numId w:val="17"/>
        </w:numPr>
        <w:spacing w:line="480" w:lineRule="auto"/>
        <w:ind w:left="0" w:hanging="284"/>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 xml:space="preserve">Yki-Järvinen H, Bergenstal RM, Bolli GB, Ziemen M, Wardecki M, Muehlen-Bartmer I, </w:t>
      </w:r>
      <w:r w:rsidR="00847B38" w:rsidRPr="00842FE5">
        <w:rPr>
          <w:rFonts w:ascii="Times New Roman" w:hAnsi="Times New Roman" w:cs="Times New Roman"/>
          <w:color w:val="0D0D0D" w:themeColor="text1" w:themeTint="F2"/>
          <w:sz w:val="24"/>
          <w:szCs w:val="24"/>
        </w:rPr>
        <w:t>et al</w:t>
      </w:r>
      <w:r w:rsidRPr="00842FE5">
        <w:rPr>
          <w:rFonts w:ascii="Times New Roman" w:hAnsi="Times New Roman" w:cs="Times New Roman"/>
          <w:color w:val="0D0D0D" w:themeColor="text1" w:themeTint="F2"/>
          <w:sz w:val="24"/>
          <w:szCs w:val="24"/>
        </w:rPr>
        <w:t xml:space="preserve">. Glycaemic control and hypoglycaemia with new insulin glargine 300 U/ml versus insulin glargine 100 U/ml in people </w:t>
      </w:r>
      <w:r w:rsidRPr="00842FE5">
        <w:rPr>
          <w:rFonts w:ascii="Times New Roman" w:hAnsi="Times New Roman" w:cs="Times New Roman"/>
          <w:color w:val="0D0D0D" w:themeColor="text1" w:themeTint="F2"/>
          <w:sz w:val="24"/>
          <w:szCs w:val="24"/>
        </w:rPr>
        <w:lastRenderedPageBreak/>
        <w:t>with type 2 diabetes using basal insulin and oral antihyperglycaemic drugs: the EDITION 2 randomized 12-month trial including 6-month extension. Diabetes Obes Metab. 2015;17(12):1142</w:t>
      </w:r>
      <w:r w:rsidR="008A6EA2" w:rsidRPr="00842FE5">
        <w:rPr>
          <w:rFonts w:ascii="Times New Roman" w:hAnsi="Times New Roman" w:cs="Times New Roman"/>
          <w:color w:val="0D0D0D" w:themeColor="text1" w:themeTint="F2"/>
          <w:sz w:val="24"/>
          <w:szCs w:val="24"/>
        </w:rPr>
        <w:t>–</w:t>
      </w:r>
      <w:r w:rsidRPr="00842FE5">
        <w:rPr>
          <w:rFonts w:ascii="Times New Roman" w:hAnsi="Times New Roman" w:cs="Times New Roman"/>
          <w:color w:val="0D0D0D" w:themeColor="text1" w:themeTint="F2"/>
          <w:sz w:val="24"/>
          <w:szCs w:val="24"/>
        </w:rPr>
        <w:t>9.</w:t>
      </w:r>
    </w:p>
    <w:p w14:paraId="6DAA160B" w14:textId="52A83CBC" w:rsidR="00965722" w:rsidRPr="00842FE5" w:rsidRDefault="00965722" w:rsidP="00382A26">
      <w:pPr>
        <w:pStyle w:val="ListParagraph"/>
        <w:numPr>
          <w:ilvl w:val="0"/>
          <w:numId w:val="17"/>
        </w:numPr>
        <w:spacing w:line="480" w:lineRule="auto"/>
        <w:ind w:left="0" w:hanging="284"/>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International Diabetes Federation. IDF Diabetes Atlas, 10th ed. Brussels, Belgium: International Diabetes Federation; 2021. Available from: https://diabetesatlas.org.Accessed on March 04, 2022.</w:t>
      </w:r>
    </w:p>
    <w:p w14:paraId="02A63003" w14:textId="6B948A8D" w:rsidR="00C033E5" w:rsidRPr="00842FE5" w:rsidRDefault="00C033E5" w:rsidP="006A38E0">
      <w:pPr>
        <w:pStyle w:val="ListParagraph"/>
        <w:numPr>
          <w:ilvl w:val="0"/>
          <w:numId w:val="17"/>
        </w:numPr>
        <w:spacing w:line="480" w:lineRule="auto"/>
        <w:ind w:left="142" w:hanging="426"/>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Aschner P, Aguilar-Salinas C, Aguirre L,</w:t>
      </w:r>
      <w:r w:rsidR="00563859" w:rsidRPr="00842FE5">
        <w:rPr>
          <w:rFonts w:ascii="Times New Roman" w:hAnsi="Times New Roman" w:cs="Times New Roman"/>
          <w:color w:val="0D0D0D" w:themeColor="text1" w:themeTint="F2"/>
          <w:sz w:val="24"/>
          <w:szCs w:val="24"/>
        </w:rPr>
        <w:t xml:space="preserve"> Franco L, Gagliardino JJ, de Lapertosa SG,</w:t>
      </w:r>
      <w:r w:rsidRPr="00842FE5">
        <w:rPr>
          <w:rFonts w:ascii="Times New Roman" w:hAnsi="Times New Roman" w:cs="Times New Roman"/>
          <w:color w:val="0D0D0D" w:themeColor="text1" w:themeTint="F2"/>
          <w:sz w:val="24"/>
          <w:szCs w:val="24"/>
        </w:rPr>
        <w:t xml:space="preserve"> et al. IDF Diabetes Atlas. Diabetes in South and Central America: an update. Diabetes Res Clin Pract. 2014;103(2):238</w:t>
      </w:r>
      <w:r w:rsidR="004B59C4" w:rsidRPr="00842FE5">
        <w:rPr>
          <w:rFonts w:ascii="Times New Roman" w:hAnsi="Times New Roman" w:cs="Times New Roman"/>
          <w:color w:val="0D0D0D" w:themeColor="text1" w:themeTint="F2"/>
          <w:sz w:val="24"/>
          <w:szCs w:val="24"/>
        </w:rPr>
        <w:t>–</w:t>
      </w:r>
      <w:r w:rsidRPr="00842FE5">
        <w:rPr>
          <w:rFonts w:ascii="Times New Roman" w:hAnsi="Times New Roman" w:cs="Times New Roman"/>
          <w:color w:val="0D0D0D" w:themeColor="text1" w:themeTint="F2"/>
          <w:sz w:val="24"/>
          <w:szCs w:val="24"/>
        </w:rPr>
        <w:t xml:space="preserve">43. </w:t>
      </w:r>
    </w:p>
    <w:p w14:paraId="3C8C90A6" w14:textId="425E3B78" w:rsidR="00C033E5" w:rsidRPr="00842FE5" w:rsidRDefault="00C033E5" w:rsidP="00C033E5">
      <w:pPr>
        <w:pStyle w:val="ListParagraph"/>
        <w:numPr>
          <w:ilvl w:val="0"/>
          <w:numId w:val="17"/>
        </w:numPr>
        <w:spacing w:line="480" w:lineRule="auto"/>
        <w:ind w:left="142" w:hanging="426"/>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Saeedi P, Petersohn I, Salpea P,</w:t>
      </w:r>
      <w:r w:rsidR="008F7DB0" w:rsidRPr="00842FE5">
        <w:rPr>
          <w:rFonts w:ascii="Times New Roman" w:hAnsi="Times New Roman" w:cs="Times New Roman"/>
          <w:color w:val="0D0D0D" w:themeColor="text1" w:themeTint="F2"/>
          <w:sz w:val="24"/>
          <w:szCs w:val="24"/>
        </w:rPr>
        <w:t xml:space="preserve"> Malanda B, Karuranga S, Unwin N, </w:t>
      </w:r>
      <w:r w:rsidRPr="00842FE5">
        <w:rPr>
          <w:rFonts w:ascii="Times New Roman" w:hAnsi="Times New Roman" w:cs="Times New Roman"/>
          <w:color w:val="0D0D0D" w:themeColor="text1" w:themeTint="F2"/>
          <w:sz w:val="24"/>
          <w:szCs w:val="24"/>
        </w:rPr>
        <w:t>et al. IDF Diabetes Atlas Committee. Global and regional diabetes prevalence estimates for 2019 and projections for 2030 and 2045: Results from the International Diabetes Federation Diabetes Atlas, 9th edition. Diabetes Res Clin Pract. 2019;157:107843.</w:t>
      </w:r>
    </w:p>
    <w:p w14:paraId="7795F490" w14:textId="6BE42320" w:rsidR="00C033E5" w:rsidRPr="00842FE5" w:rsidRDefault="00C033E5" w:rsidP="00C033E5">
      <w:pPr>
        <w:pStyle w:val="ListParagraph"/>
        <w:numPr>
          <w:ilvl w:val="0"/>
          <w:numId w:val="17"/>
        </w:numPr>
        <w:spacing w:line="480" w:lineRule="auto"/>
        <w:ind w:left="197" w:hanging="481"/>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 xml:space="preserve">Rodríguez JE, Campbell KM. Racial and </w:t>
      </w:r>
      <w:r w:rsidR="008F7DB0" w:rsidRPr="00842FE5">
        <w:rPr>
          <w:rFonts w:ascii="Times New Roman" w:hAnsi="Times New Roman" w:cs="Times New Roman"/>
          <w:color w:val="0D0D0D" w:themeColor="text1" w:themeTint="F2"/>
          <w:sz w:val="24"/>
          <w:szCs w:val="24"/>
        </w:rPr>
        <w:t>e</w:t>
      </w:r>
      <w:r w:rsidRPr="00842FE5">
        <w:rPr>
          <w:rFonts w:ascii="Times New Roman" w:hAnsi="Times New Roman" w:cs="Times New Roman"/>
          <w:color w:val="0D0D0D" w:themeColor="text1" w:themeTint="F2"/>
          <w:sz w:val="24"/>
          <w:szCs w:val="24"/>
        </w:rPr>
        <w:t xml:space="preserve">thnic </w:t>
      </w:r>
      <w:r w:rsidR="008F7DB0" w:rsidRPr="00842FE5">
        <w:rPr>
          <w:rFonts w:ascii="Times New Roman" w:hAnsi="Times New Roman" w:cs="Times New Roman"/>
          <w:color w:val="0D0D0D" w:themeColor="text1" w:themeTint="F2"/>
          <w:sz w:val="24"/>
          <w:szCs w:val="24"/>
        </w:rPr>
        <w:t>d</w:t>
      </w:r>
      <w:r w:rsidRPr="00842FE5">
        <w:rPr>
          <w:rFonts w:ascii="Times New Roman" w:hAnsi="Times New Roman" w:cs="Times New Roman"/>
          <w:color w:val="0D0D0D" w:themeColor="text1" w:themeTint="F2"/>
          <w:sz w:val="24"/>
          <w:szCs w:val="24"/>
        </w:rPr>
        <w:t xml:space="preserve">isparities in </w:t>
      </w:r>
      <w:r w:rsidR="008F7DB0" w:rsidRPr="00842FE5">
        <w:rPr>
          <w:rFonts w:ascii="Times New Roman" w:hAnsi="Times New Roman" w:cs="Times New Roman"/>
          <w:color w:val="0D0D0D" w:themeColor="text1" w:themeTint="F2"/>
          <w:sz w:val="24"/>
          <w:szCs w:val="24"/>
        </w:rPr>
        <w:t>p</w:t>
      </w:r>
      <w:r w:rsidRPr="00842FE5">
        <w:rPr>
          <w:rFonts w:ascii="Times New Roman" w:hAnsi="Times New Roman" w:cs="Times New Roman"/>
          <w:color w:val="0D0D0D" w:themeColor="text1" w:themeTint="F2"/>
          <w:sz w:val="24"/>
          <w:szCs w:val="24"/>
        </w:rPr>
        <w:t xml:space="preserve">revalence and </w:t>
      </w:r>
      <w:r w:rsidR="008F7DB0" w:rsidRPr="00842FE5">
        <w:rPr>
          <w:rFonts w:ascii="Times New Roman" w:hAnsi="Times New Roman" w:cs="Times New Roman"/>
          <w:color w:val="0D0D0D" w:themeColor="text1" w:themeTint="F2"/>
          <w:sz w:val="24"/>
          <w:szCs w:val="24"/>
        </w:rPr>
        <w:t>c</w:t>
      </w:r>
      <w:r w:rsidRPr="00842FE5">
        <w:rPr>
          <w:rFonts w:ascii="Times New Roman" w:hAnsi="Times New Roman" w:cs="Times New Roman"/>
          <w:color w:val="0D0D0D" w:themeColor="text1" w:themeTint="F2"/>
          <w:sz w:val="24"/>
          <w:szCs w:val="24"/>
        </w:rPr>
        <w:t xml:space="preserve">are of </w:t>
      </w:r>
      <w:r w:rsidR="008F7DB0" w:rsidRPr="00842FE5">
        <w:rPr>
          <w:rFonts w:ascii="Times New Roman" w:hAnsi="Times New Roman" w:cs="Times New Roman"/>
          <w:color w:val="0D0D0D" w:themeColor="text1" w:themeTint="F2"/>
          <w:sz w:val="24"/>
          <w:szCs w:val="24"/>
        </w:rPr>
        <w:t>p</w:t>
      </w:r>
      <w:r w:rsidRPr="00842FE5">
        <w:rPr>
          <w:rFonts w:ascii="Times New Roman" w:hAnsi="Times New Roman" w:cs="Times New Roman"/>
          <w:color w:val="0D0D0D" w:themeColor="text1" w:themeTint="F2"/>
          <w:sz w:val="24"/>
          <w:szCs w:val="24"/>
        </w:rPr>
        <w:t xml:space="preserve">atients </w:t>
      </w:r>
      <w:r w:rsidR="008F7DB0" w:rsidRPr="00842FE5">
        <w:rPr>
          <w:rFonts w:ascii="Times New Roman" w:hAnsi="Times New Roman" w:cs="Times New Roman"/>
          <w:color w:val="0D0D0D" w:themeColor="text1" w:themeTint="F2"/>
          <w:sz w:val="24"/>
          <w:szCs w:val="24"/>
        </w:rPr>
        <w:t>w</w:t>
      </w:r>
      <w:r w:rsidRPr="00842FE5">
        <w:rPr>
          <w:rFonts w:ascii="Times New Roman" w:hAnsi="Times New Roman" w:cs="Times New Roman"/>
          <w:color w:val="0D0D0D" w:themeColor="text1" w:themeTint="F2"/>
          <w:sz w:val="24"/>
          <w:szCs w:val="24"/>
        </w:rPr>
        <w:t xml:space="preserve">ith </w:t>
      </w:r>
      <w:r w:rsidR="008F7DB0" w:rsidRPr="00842FE5">
        <w:rPr>
          <w:rFonts w:ascii="Times New Roman" w:hAnsi="Times New Roman" w:cs="Times New Roman"/>
          <w:color w:val="0D0D0D" w:themeColor="text1" w:themeTint="F2"/>
          <w:sz w:val="24"/>
          <w:szCs w:val="24"/>
        </w:rPr>
        <w:t>t</w:t>
      </w:r>
      <w:r w:rsidRPr="00842FE5">
        <w:rPr>
          <w:rFonts w:ascii="Times New Roman" w:hAnsi="Times New Roman" w:cs="Times New Roman"/>
          <w:color w:val="0D0D0D" w:themeColor="text1" w:themeTint="F2"/>
          <w:sz w:val="24"/>
          <w:szCs w:val="24"/>
        </w:rPr>
        <w:t xml:space="preserve">ype 2 </w:t>
      </w:r>
      <w:r w:rsidR="008F7DB0" w:rsidRPr="00842FE5">
        <w:rPr>
          <w:rFonts w:ascii="Times New Roman" w:hAnsi="Times New Roman" w:cs="Times New Roman"/>
          <w:color w:val="0D0D0D" w:themeColor="text1" w:themeTint="F2"/>
          <w:sz w:val="24"/>
          <w:szCs w:val="24"/>
        </w:rPr>
        <w:t>d</w:t>
      </w:r>
      <w:r w:rsidRPr="00842FE5">
        <w:rPr>
          <w:rFonts w:ascii="Times New Roman" w:hAnsi="Times New Roman" w:cs="Times New Roman"/>
          <w:color w:val="0D0D0D" w:themeColor="text1" w:themeTint="F2"/>
          <w:sz w:val="24"/>
          <w:szCs w:val="24"/>
        </w:rPr>
        <w:t>iabetes. Clin Diabetes. 2017;35(1):66</w:t>
      </w:r>
      <w:r w:rsidR="00691229" w:rsidRPr="00842FE5">
        <w:rPr>
          <w:rFonts w:ascii="Times New Roman" w:hAnsi="Times New Roman" w:cs="Times New Roman"/>
          <w:color w:val="0D0D0D" w:themeColor="text1" w:themeTint="F2"/>
          <w:sz w:val="24"/>
          <w:szCs w:val="24"/>
        </w:rPr>
        <w:t>–</w:t>
      </w:r>
      <w:r w:rsidRPr="00842FE5">
        <w:rPr>
          <w:rFonts w:ascii="Times New Roman" w:hAnsi="Times New Roman" w:cs="Times New Roman"/>
          <w:color w:val="0D0D0D" w:themeColor="text1" w:themeTint="F2"/>
          <w:sz w:val="24"/>
          <w:szCs w:val="24"/>
        </w:rPr>
        <w:t>70.</w:t>
      </w:r>
    </w:p>
    <w:p w14:paraId="4ED43B5D" w14:textId="636FEC2E" w:rsidR="00C033E5" w:rsidRPr="00842FE5" w:rsidRDefault="00C033E5" w:rsidP="00BA1EED">
      <w:pPr>
        <w:pStyle w:val="ListParagraph"/>
        <w:numPr>
          <w:ilvl w:val="0"/>
          <w:numId w:val="17"/>
        </w:numPr>
        <w:spacing w:line="480" w:lineRule="auto"/>
        <w:ind w:left="197" w:hanging="481"/>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Pham TM, Carpenter JR, Morris TP, Sharma M, Petersen I. Ethnic Differences in the Prevalence of Type 2 Diabetes Diagnoses in the UK: Cross-Sectional Analysis of the Health Improvement Network Primary Care Database. Clin Epidemiol. 2019;11:1081</w:t>
      </w:r>
      <w:r w:rsidR="00691229" w:rsidRPr="00842FE5">
        <w:rPr>
          <w:rFonts w:ascii="Times New Roman" w:hAnsi="Times New Roman" w:cs="Times New Roman"/>
          <w:color w:val="0D0D0D" w:themeColor="text1" w:themeTint="F2"/>
          <w:sz w:val="24"/>
          <w:szCs w:val="24"/>
        </w:rPr>
        <w:t>–</w:t>
      </w:r>
      <w:r w:rsidRPr="00842FE5">
        <w:rPr>
          <w:rFonts w:ascii="Times New Roman" w:hAnsi="Times New Roman" w:cs="Times New Roman"/>
          <w:color w:val="0D0D0D" w:themeColor="text1" w:themeTint="F2"/>
          <w:sz w:val="24"/>
          <w:szCs w:val="24"/>
        </w:rPr>
        <w:t>88.</w:t>
      </w:r>
    </w:p>
    <w:p w14:paraId="3EF62CC9" w14:textId="5D032061" w:rsidR="00C033E5" w:rsidRPr="00842FE5" w:rsidRDefault="00C033E5" w:rsidP="00BA1EED">
      <w:pPr>
        <w:pStyle w:val="ListParagraph"/>
        <w:numPr>
          <w:ilvl w:val="0"/>
          <w:numId w:val="17"/>
        </w:numPr>
        <w:spacing w:line="480" w:lineRule="auto"/>
        <w:ind w:left="142" w:hanging="426"/>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 xml:space="preserve">Chan JC, Malik V, Jia W, Kadowaki T, Yajnik CS, Yoon KH, </w:t>
      </w:r>
      <w:r w:rsidR="008F7DB0" w:rsidRPr="00842FE5">
        <w:rPr>
          <w:rFonts w:ascii="Times New Roman" w:hAnsi="Times New Roman" w:cs="Times New Roman"/>
          <w:color w:val="0D0D0D" w:themeColor="text1" w:themeTint="F2"/>
          <w:sz w:val="24"/>
          <w:szCs w:val="24"/>
        </w:rPr>
        <w:t>et al</w:t>
      </w:r>
      <w:r w:rsidRPr="00842FE5">
        <w:rPr>
          <w:rFonts w:ascii="Times New Roman" w:hAnsi="Times New Roman" w:cs="Times New Roman"/>
          <w:color w:val="0D0D0D" w:themeColor="text1" w:themeTint="F2"/>
          <w:sz w:val="24"/>
          <w:szCs w:val="24"/>
        </w:rPr>
        <w:t>. Diabetes in Asia: epidemiology, risk factors, and pathophysiology. JAMA. 2009;301(20):2129</w:t>
      </w:r>
      <w:r w:rsidR="00402634" w:rsidRPr="00842FE5">
        <w:rPr>
          <w:rFonts w:ascii="Times New Roman" w:hAnsi="Times New Roman" w:cs="Times New Roman"/>
          <w:color w:val="0D0D0D" w:themeColor="text1" w:themeTint="F2"/>
          <w:sz w:val="24"/>
          <w:szCs w:val="24"/>
        </w:rPr>
        <w:t>–</w:t>
      </w:r>
      <w:r w:rsidRPr="00842FE5">
        <w:rPr>
          <w:rFonts w:ascii="Times New Roman" w:hAnsi="Times New Roman" w:cs="Times New Roman"/>
          <w:color w:val="0D0D0D" w:themeColor="text1" w:themeTint="F2"/>
          <w:sz w:val="24"/>
          <w:szCs w:val="24"/>
        </w:rPr>
        <w:t xml:space="preserve">40. </w:t>
      </w:r>
    </w:p>
    <w:p w14:paraId="0520F83C" w14:textId="284C25BE" w:rsidR="00C033E5" w:rsidRPr="00842FE5" w:rsidRDefault="00C033E5" w:rsidP="00BA1EED">
      <w:pPr>
        <w:pStyle w:val="ListParagraph"/>
        <w:numPr>
          <w:ilvl w:val="0"/>
          <w:numId w:val="17"/>
        </w:numPr>
        <w:spacing w:line="480" w:lineRule="auto"/>
        <w:ind w:left="142" w:hanging="426"/>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Aguayo-Mazzucato C, Diaque P, Hernandez S, Rosas S, Kostic A, Caballero AE. Understanding the growing epidemic of type 2 diabetes in the Hispanic population living in the United States. Diabetes Metab Res Rev. 2019;35(2):e3097.</w:t>
      </w:r>
    </w:p>
    <w:p w14:paraId="5CDFC7C6" w14:textId="55AFD84F" w:rsidR="00C033E5" w:rsidRPr="00842FE5" w:rsidRDefault="00C033E5" w:rsidP="00BA1EED">
      <w:pPr>
        <w:pStyle w:val="ListParagraph"/>
        <w:numPr>
          <w:ilvl w:val="0"/>
          <w:numId w:val="17"/>
        </w:numPr>
        <w:spacing w:line="480" w:lineRule="auto"/>
        <w:ind w:left="142" w:hanging="426"/>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 xml:space="preserve">Mercader JM, Florez JC. The </w:t>
      </w:r>
      <w:r w:rsidR="008F7DB0" w:rsidRPr="00842FE5">
        <w:rPr>
          <w:rFonts w:ascii="Times New Roman" w:hAnsi="Times New Roman" w:cs="Times New Roman"/>
          <w:color w:val="0D0D0D" w:themeColor="text1" w:themeTint="F2"/>
          <w:sz w:val="24"/>
          <w:szCs w:val="24"/>
        </w:rPr>
        <w:t>g</w:t>
      </w:r>
      <w:r w:rsidRPr="00842FE5">
        <w:rPr>
          <w:rFonts w:ascii="Times New Roman" w:hAnsi="Times New Roman" w:cs="Times New Roman"/>
          <w:color w:val="0D0D0D" w:themeColor="text1" w:themeTint="F2"/>
          <w:sz w:val="24"/>
          <w:szCs w:val="24"/>
        </w:rPr>
        <w:t xml:space="preserve">enetic </w:t>
      </w:r>
      <w:r w:rsidR="008F7DB0" w:rsidRPr="00842FE5">
        <w:rPr>
          <w:rFonts w:ascii="Times New Roman" w:hAnsi="Times New Roman" w:cs="Times New Roman"/>
          <w:color w:val="0D0D0D" w:themeColor="text1" w:themeTint="F2"/>
          <w:sz w:val="24"/>
          <w:szCs w:val="24"/>
        </w:rPr>
        <w:t>b</w:t>
      </w:r>
      <w:r w:rsidRPr="00842FE5">
        <w:rPr>
          <w:rFonts w:ascii="Times New Roman" w:hAnsi="Times New Roman" w:cs="Times New Roman"/>
          <w:color w:val="0D0D0D" w:themeColor="text1" w:themeTint="F2"/>
          <w:sz w:val="24"/>
          <w:szCs w:val="24"/>
        </w:rPr>
        <w:t xml:space="preserve">asis of </w:t>
      </w:r>
      <w:r w:rsidR="008F7DB0" w:rsidRPr="00842FE5">
        <w:rPr>
          <w:rFonts w:ascii="Times New Roman" w:hAnsi="Times New Roman" w:cs="Times New Roman"/>
          <w:color w:val="0D0D0D" w:themeColor="text1" w:themeTint="F2"/>
          <w:sz w:val="24"/>
          <w:szCs w:val="24"/>
        </w:rPr>
        <w:t>t</w:t>
      </w:r>
      <w:r w:rsidRPr="00842FE5">
        <w:rPr>
          <w:rFonts w:ascii="Times New Roman" w:hAnsi="Times New Roman" w:cs="Times New Roman"/>
          <w:color w:val="0D0D0D" w:themeColor="text1" w:themeTint="F2"/>
          <w:sz w:val="24"/>
          <w:szCs w:val="24"/>
        </w:rPr>
        <w:t xml:space="preserve">ype 2 </w:t>
      </w:r>
      <w:r w:rsidR="008F7DB0" w:rsidRPr="00842FE5">
        <w:rPr>
          <w:rFonts w:ascii="Times New Roman" w:hAnsi="Times New Roman" w:cs="Times New Roman"/>
          <w:color w:val="0D0D0D" w:themeColor="text1" w:themeTint="F2"/>
          <w:sz w:val="24"/>
          <w:szCs w:val="24"/>
        </w:rPr>
        <w:t>d</w:t>
      </w:r>
      <w:r w:rsidRPr="00842FE5">
        <w:rPr>
          <w:rFonts w:ascii="Times New Roman" w:hAnsi="Times New Roman" w:cs="Times New Roman"/>
          <w:color w:val="0D0D0D" w:themeColor="text1" w:themeTint="F2"/>
          <w:sz w:val="24"/>
          <w:szCs w:val="24"/>
        </w:rPr>
        <w:t xml:space="preserve">iabetes in Hispanics and Latin Americans: Challenges and </w:t>
      </w:r>
      <w:r w:rsidR="008F7DB0" w:rsidRPr="00842FE5">
        <w:rPr>
          <w:rFonts w:ascii="Times New Roman" w:hAnsi="Times New Roman" w:cs="Times New Roman"/>
          <w:color w:val="0D0D0D" w:themeColor="text1" w:themeTint="F2"/>
          <w:sz w:val="24"/>
          <w:szCs w:val="24"/>
        </w:rPr>
        <w:t>o</w:t>
      </w:r>
      <w:r w:rsidRPr="00842FE5">
        <w:rPr>
          <w:rFonts w:ascii="Times New Roman" w:hAnsi="Times New Roman" w:cs="Times New Roman"/>
          <w:color w:val="0D0D0D" w:themeColor="text1" w:themeTint="F2"/>
          <w:sz w:val="24"/>
          <w:szCs w:val="24"/>
        </w:rPr>
        <w:t>pportunities. Front Public Health. 2017</w:t>
      </w:r>
      <w:r w:rsidR="00BA1EED" w:rsidRPr="00842FE5">
        <w:rPr>
          <w:rFonts w:ascii="Times New Roman" w:hAnsi="Times New Roman" w:cs="Times New Roman"/>
          <w:color w:val="0D0D0D" w:themeColor="text1" w:themeTint="F2"/>
          <w:sz w:val="24"/>
          <w:szCs w:val="24"/>
        </w:rPr>
        <w:t>;</w:t>
      </w:r>
      <w:r w:rsidRPr="00842FE5">
        <w:rPr>
          <w:rFonts w:ascii="Times New Roman" w:hAnsi="Times New Roman" w:cs="Times New Roman"/>
          <w:color w:val="0D0D0D" w:themeColor="text1" w:themeTint="F2"/>
          <w:sz w:val="24"/>
          <w:szCs w:val="24"/>
        </w:rPr>
        <w:t xml:space="preserve">11;5:329. </w:t>
      </w:r>
    </w:p>
    <w:p w14:paraId="4839C034" w14:textId="2DDD2142" w:rsidR="007F01DA" w:rsidRPr="00842FE5" w:rsidRDefault="00E13EE7" w:rsidP="00BA1EED">
      <w:pPr>
        <w:pStyle w:val="ListParagraph"/>
        <w:numPr>
          <w:ilvl w:val="0"/>
          <w:numId w:val="17"/>
        </w:numPr>
        <w:spacing w:line="480" w:lineRule="auto"/>
        <w:ind w:left="142" w:hanging="426"/>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Aschner P, Gagliardino JJ, Ilkova H,</w:t>
      </w:r>
      <w:r w:rsidR="004A6473" w:rsidRPr="00842FE5">
        <w:rPr>
          <w:rFonts w:ascii="Times New Roman" w:hAnsi="Times New Roman" w:cs="Times New Roman"/>
          <w:color w:val="0D0D0D" w:themeColor="text1" w:themeTint="F2"/>
          <w:sz w:val="24"/>
          <w:szCs w:val="24"/>
        </w:rPr>
        <w:t xml:space="preserve"> Lavalle F, Ramachandran A, Mbanya JC,</w:t>
      </w:r>
      <w:r w:rsidRPr="00842FE5">
        <w:rPr>
          <w:rFonts w:ascii="Times New Roman" w:hAnsi="Times New Roman" w:cs="Times New Roman"/>
          <w:color w:val="0D0D0D" w:themeColor="text1" w:themeTint="F2"/>
          <w:sz w:val="24"/>
          <w:szCs w:val="24"/>
        </w:rPr>
        <w:t xml:space="preserve"> et al. Persistent poor glycaemic control in individuals with type 2 diabetes in developing countries: 12 years of real-world </w:t>
      </w:r>
      <w:r w:rsidRPr="00842FE5">
        <w:rPr>
          <w:rFonts w:ascii="Times New Roman" w:hAnsi="Times New Roman" w:cs="Times New Roman"/>
          <w:color w:val="0D0D0D" w:themeColor="text1" w:themeTint="F2"/>
          <w:sz w:val="24"/>
          <w:szCs w:val="24"/>
        </w:rPr>
        <w:lastRenderedPageBreak/>
        <w:t xml:space="preserve">evidence of the International Diabetes Management Practices Study (IDMPS). </w:t>
      </w:r>
      <w:r w:rsidRPr="00842FE5">
        <w:rPr>
          <w:rFonts w:ascii="Times New Roman" w:hAnsi="Times New Roman" w:cs="Times New Roman"/>
          <w:i/>
          <w:iCs/>
          <w:color w:val="0D0D0D" w:themeColor="text1" w:themeTint="F2"/>
          <w:sz w:val="24"/>
          <w:szCs w:val="24"/>
        </w:rPr>
        <w:t>Diabetologia</w:t>
      </w:r>
      <w:r w:rsidRPr="00842FE5">
        <w:rPr>
          <w:rFonts w:ascii="Times New Roman" w:hAnsi="Times New Roman" w:cs="Times New Roman"/>
          <w:color w:val="0D0D0D" w:themeColor="text1" w:themeTint="F2"/>
          <w:sz w:val="24"/>
          <w:szCs w:val="24"/>
        </w:rPr>
        <w:t>. 2020;63(4):711</w:t>
      </w:r>
      <w:r w:rsidR="00402634" w:rsidRPr="00842FE5">
        <w:rPr>
          <w:rFonts w:ascii="Times New Roman" w:hAnsi="Times New Roman" w:cs="Times New Roman"/>
          <w:color w:val="0D0D0D" w:themeColor="text1" w:themeTint="F2"/>
          <w:sz w:val="24"/>
          <w:szCs w:val="24"/>
        </w:rPr>
        <w:t>–</w:t>
      </w:r>
      <w:r w:rsidRPr="00842FE5">
        <w:rPr>
          <w:rFonts w:ascii="Times New Roman" w:hAnsi="Times New Roman" w:cs="Times New Roman"/>
          <w:color w:val="0D0D0D" w:themeColor="text1" w:themeTint="F2"/>
          <w:sz w:val="24"/>
          <w:szCs w:val="24"/>
        </w:rPr>
        <w:t xml:space="preserve">21. </w:t>
      </w:r>
    </w:p>
    <w:p w14:paraId="0FFFD6B1" w14:textId="5808EFB1" w:rsidR="00C033E5" w:rsidRPr="00842FE5" w:rsidRDefault="00C033E5" w:rsidP="00BA1EED">
      <w:pPr>
        <w:pStyle w:val="ListParagraph"/>
        <w:numPr>
          <w:ilvl w:val="0"/>
          <w:numId w:val="17"/>
        </w:numPr>
        <w:spacing w:line="480" w:lineRule="auto"/>
        <w:ind w:left="142" w:hanging="426"/>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 xml:space="preserve">Inzucchi SE, Bergenstal RM, Buse JB, Diamant M, Ferrannini E, Nauck M, et al. Management of </w:t>
      </w:r>
      <w:r w:rsidR="004A6473" w:rsidRPr="00842FE5">
        <w:rPr>
          <w:rFonts w:ascii="Times New Roman" w:hAnsi="Times New Roman" w:cs="Times New Roman"/>
          <w:color w:val="0D0D0D" w:themeColor="text1" w:themeTint="F2"/>
          <w:sz w:val="24"/>
          <w:szCs w:val="24"/>
        </w:rPr>
        <w:t>h</w:t>
      </w:r>
      <w:r w:rsidRPr="00842FE5">
        <w:rPr>
          <w:rFonts w:ascii="Times New Roman" w:hAnsi="Times New Roman" w:cs="Times New Roman"/>
          <w:color w:val="0D0D0D" w:themeColor="text1" w:themeTint="F2"/>
          <w:sz w:val="24"/>
          <w:szCs w:val="24"/>
        </w:rPr>
        <w:t xml:space="preserve">yperglycemia in </w:t>
      </w:r>
      <w:r w:rsidR="004A6473" w:rsidRPr="00842FE5">
        <w:rPr>
          <w:rFonts w:ascii="Times New Roman" w:hAnsi="Times New Roman" w:cs="Times New Roman"/>
          <w:color w:val="0D0D0D" w:themeColor="text1" w:themeTint="F2"/>
          <w:sz w:val="24"/>
          <w:szCs w:val="24"/>
        </w:rPr>
        <w:t>t</w:t>
      </w:r>
      <w:r w:rsidRPr="00842FE5">
        <w:rPr>
          <w:rFonts w:ascii="Times New Roman" w:hAnsi="Times New Roman" w:cs="Times New Roman"/>
          <w:color w:val="0D0D0D" w:themeColor="text1" w:themeTint="F2"/>
          <w:sz w:val="24"/>
          <w:szCs w:val="24"/>
        </w:rPr>
        <w:t xml:space="preserve">ype 2 </w:t>
      </w:r>
      <w:r w:rsidR="004A6473" w:rsidRPr="00842FE5">
        <w:rPr>
          <w:rFonts w:ascii="Times New Roman" w:hAnsi="Times New Roman" w:cs="Times New Roman"/>
          <w:color w:val="0D0D0D" w:themeColor="text1" w:themeTint="F2"/>
          <w:sz w:val="24"/>
          <w:szCs w:val="24"/>
        </w:rPr>
        <w:t>d</w:t>
      </w:r>
      <w:r w:rsidRPr="00842FE5">
        <w:rPr>
          <w:rFonts w:ascii="Times New Roman" w:hAnsi="Times New Roman" w:cs="Times New Roman"/>
          <w:color w:val="0D0D0D" w:themeColor="text1" w:themeTint="F2"/>
          <w:sz w:val="24"/>
          <w:szCs w:val="24"/>
        </w:rPr>
        <w:t>iabetes, 2015: A Patient-Centered Approach. Diabetes Care. 2015;38:140–9.</w:t>
      </w:r>
    </w:p>
    <w:p w14:paraId="64DBFD05" w14:textId="1B9616EE" w:rsidR="00C033E5" w:rsidRPr="00842FE5" w:rsidRDefault="00C033E5" w:rsidP="00BA1EED">
      <w:pPr>
        <w:pStyle w:val="ListParagraph"/>
        <w:numPr>
          <w:ilvl w:val="0"/>
          <w:numId w:val="17"/>
        </w:numPr>
        <w:spacing w:line="480" w:lineRule="auto"/>
        <w:ind w:left="142" w:hanging="426"/>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Yki-Järvinen H, Bergenstal R, Ziemen M,</w:t>
      </w:r>
      <w:r w:rsidR="00505E66" w:rsidRPr="00842FE5">
        <w:rPr>
          <w:rFonts w:ascii="Times New Roman" w:hAnsi="Times New Roman" w:cs="Times New Roman"/>
          <w:color w:val="0D0D0D" w:themeColor="text1" w:themeTint="F2"/>
          <w:sz w:val="24"/>
          <w:szCs w:val="24"/>
        </w:rPr>
        <w:t xml:space="preserve"> Wardecki M, Muehlen-Bartmer I, Boelle E,</w:t>
      </w:r>
      <w:r w:rsidRPr="00842FE5">
        <w:rPr>
          <w:rFonts w:ascii="Times New Roman" w:hAnsi="Times New Roman" w:cs="Times New Roman"/>
          <w:color w:val="0D0D0D" w:themeColor="text1" w:themeTint="F2"/>
          <w:sz w:val="24"/>
          <w:szCs w:val="24"/>
        </w:rPr>
        <w:t xml:space="preserve"> et al; EDITION 2 Study Investigators. New insulin glargine 300 units/mL versus glargine 100 units/mL in people with type 2 diabetes using oral agents and basal insulin: glucose control and hypoglycemia in a 6-month randomized controlled trial (EDITION 2). Diabetes Care. 2014;37(12):3235</w:t>
      </w:r>
      <w:r w:rsidR="00402634" w:rsidRPr="00842FE5">
        <w:rPr>
          <w:rFonts w:ascii="Times New Roman" w:hAnsi="Times New Roman" w:cs="Times New Roman"/>
          <w:color w:val="0D0D0D" w:themeColor="text1" w:themeTint="F2"/>
          <w:sz w:val="24"/>
          <w:szCs w:val="24"/>
        </w:rPr>
        <w:t>–</w:t>
      </w:r>
      <w:r w:rsidRPr="00842FE5">
        <w:rPr>
          <w:rFonts w:ascii="Times New Roman" w:hAnsi="Times New Roman" w:cs="Times New Roman"/>
          <w:color w:val="0D0D0D" w:themeColor="text1" w:themeTint="F2"/>
          <w:sz w:val="24"/>
          <w:szCs w:val="24"/>
        </w:rPr>
        <w:t>43.</w:t>
      </w:r>
    </w:p>
    <w:p w14:paraId="668695E9" w14:textId="7F47CBE0" w:rsidR="00C033E5" w:rsidRPr="00842FE5" w:rsidRDefault="00C033E5" w:rsidP="00BA1EED">
      <w:pPr>
        <w:pStyle w:val="ListParagraph"/>
        <w:numPr>
          <w:ilvl w:val="0"/>
          <w:numId w:val="17"/>
        </w:numPr>
        <w:spacing w:line="480" w:lineRule="auto"/>
        <w:ind w:left="197" w:hanging="481"/>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Gourdy P, Bahloul A, Boultif Z,</w:t>
      </w:r>
      <w:r w:rsidR="00205C42" w:rsidRPr="00842FE5">
        <w:rPr>
          <w:rFonts w:ascii="Times New Roman" w:hAnsi="Times New Roman" w:cs="Times New Roman"/>
          <w:color w:val="0D0D0D" w:themeColor="text1" w:themeTint="F2"/>
          <w:sz w:val="24"/>
          <w:szCs w:val="24"/>
        </w:rPr>
        <w:t xml:space="preserve"> Gouet D, Guerci B</w:t>
      </w:r>
      <w:r w:rsidRPr="00842FE5">
        <w:rPr>
          <w:rFonts w:ascii="Times New Roman" w:hAnsi="Times New Roman" w:cs="Times New Roman"/>
          <w:color w:val="0D0D0D" w:themeColor="text1" w:themeTint="F2"/>
          <w:sz w:val="24"/>
          <w:szCs w:val="24"/>
        </w:rPr>
        <w:t xml:space="preserve">. Efficacy and </w:t>
      </w:r>
      <w:r w:rsidR="00205C42" w:rsidRPr="00842FE5">
        <w:rPr>
          <w:rFonts w:ascii="Times New Roman" w:hAnsi="Times New Roman" w:cs="Times New Roman"/>
          <w:color w:val="0D0D0D" w:themeColor="text1" w:themeTint="F2"/>
          <w:sz w:val="24"/>
          <w:szCs w:val="24"/>
        </w:rPr>
        <w:t>s</w:t>
      </w:r>
      <w:r w:rsidRPr="00842FE5">
        <w:rPr>
          <w:rFonts w:ascii="Times New Roman" w:hAnsi="Times New Roman" w:cs="Times New Roman"/>
          <w:color w:val="0D0D0D" w:themeColor="text1" w:themeTint="F2"/>
          <w:sz w:val="24"/>
          <w:szCs w:val="24"/>
        </w:rPr>
        <w:t xml:space="preserve">afety of </w:t>
      </w:r>
      <w:r w:rsidR="00205C42" w:rsidRPr="00842FE5">
        <w:rPr>
          <w:rFonts w:ascii="Times New Roman" w:hAnsi="Times New Roman" w:cs="Times New Roman"/>
          <w:color w:val="0D0D0D" w:themeColor="text1" w:themeTint="F2"/>
          <w:sz w:val="24"/>
          <w:szCs w:val="24"/>
        </w:rPr>
        <w:t>s</w:t>
      </w:r>
      <w:r w:rsidRPr="00842FE5">
        <w:rPr>
          <w:rFonts w:ascii="Times New Roman" w:hAnsi="Times New Roman" w:cs="Times New Roman"/>
          <w:color w:val="0D0D0D" w:themeColor="text1" w:themeTint="F2"/>
          <w:sz w:val="24"/>
          <w:szCs w:val="24"/>
        </w:rPr>
        <w:t xml:space="preserve">witching </w:t>
      </w:r>
      <w:r w:rsidR="00205C42" w:rsidRPr="00842FE5">
        <w:rPr>
          <w:rFonts w:ascii="Times New Roman" w:hAnsi="Times New Roman" w:cs="Times New Roman"/>
          <w:color w:val="0D0D0D" w:themeColor="text1" w:themeTint="F2"/>
          <w:sz w:val="24"/>
          <w:szCs w:val="24"/>
        </w:rPr>
        <w:t>p</w:t>
      </w:r>
      <w:r w:rsidRPr="00842FE5">
        <w:rPr>
          <w:rFonts w:ascii="Times New Roman" w:hAnsi="Times New Roman" w:cs="Times New Roman"/>
          <w:color w:val="0D0D0D" w:themeColor="text1" w:themeTint="F2"/>
          <w:sz w:val="24"/>
          <w:szCs w:val="24"/>
        </w:rPr>
        <w:t xml:space="preserve">atients </w:t>
      </w:r>
      <w:r w:rsidR="00205C42" w:rsidRPr="00842FE5">
        <w:rPr>
          <w:rFonts w:ascii="Times New Roman" w:hAnsi="Times New Roman" w:cs="Times New Roman"/>
          <w:color w:val="0D0D0D" w:themeColor="text1" w:themeTint="F2"/>
          <w:sz w:val="24"/>
          <w:szCs w:val="24"/>
        </w:rPr>
        <w:t>i</w:t>
      </w:r>
      <w:r w:rsidRPr="00842FE5">
        <w:rPr>
          <w:rFonts w:ascii="Times New Roman" w:hAnsi="Times New Roman" w:cs="Times New Roman"/>
          <w:color w:val="0D0D0D" w:themeColor="text1" w:themeTint="F2"/>
          <w:sz w:val="24"/>
          <w:szCs w:val="24"/>
        </w:rPr>
        <w:t xml:space="preserve">nadequately </w:t>
      </w:r>
      <w:r w:rsidR="00205C42" w:rsidRPr="00842FE5">
        <w:rPr>
          <w:rFonts w:ascii="Times New Roman" w:hAnsi="Times New Roman" w:cs="Times New Roman"/>
          <w:color w:val="0D0D0D" w:themeColor="text1" w:themeTint="F2"/>
          <w:sz w:val="24"/>
          <w:szCs w:val="24"/>
        </w:rPr>
        <w:t>c</w:t>
      </w:r>
      <w:r w:rsidRPr="00842FE5">
        <w:rPr>
          <w:rFonts w:ascii="Times New Roman" w:hAnsi="Times New Roman" w:cs="Times New Roman"/>
          <w:color w:val="0D0D0D" w:themeColor="text1" w:themeTint="F2"/>
          <w:sz w:val="24"/>
          <w:szCs w:val="24"/>
        </w:rPr>
        <w:t xml:space="preserve">ontrolled on </w:t>
      </w:r>
      <w:r w:rsidR="00205C42" w:rsidRPr="00842FE5">
        <w:rPr>
          <w:rFonts w:ascii="Times New Roman" w:hAnsi="Times New Roman" w:cs="Times New Roman"/>
          <w:color w:val="0D0D0D" w:themeColor="text1" w:themeTint="F2"/>
          <w:sz w:val="24"/>
          <w:szCs w:val="24"/>
        </w:rPr>
        <w:t>b</w:t>
      </w:r>
      <w:r w:rsidRPr="00842FE5">
        <w:rPr>
          <w:rFonts w:ascii="Times New Roman" w:hAnsi="Times New Roman" w:cs="Times New Roman"/>
          <w:color w:val="0D0D0D" w:themeColor="text1" w:themeTint="F2"/>
          <w:sz w:val="24"/>
          <w:szCs w:val="24"/>
        </w:rPr>
        <w:t xml:space="preserve">asal </w:t>
      </w:r>
      <w:r w:rsidR="00205C42" w:rsidRPr="00842FE5">
        <w:rPr>
          <w:rFonts w:ascii="Times New Roman" w:hAnsi="Times New Roman" w:cs="Times New Roman"/>
          <w:color w:val="0D0D0D" w:themeColor="text1" w:themeTint="F2"/>
          <w:sz w:val="24"/>
          <w:szCs w:val="24"/>
        </w:rPr>
        <w:t>i</w:t>
      </w:r>
      <w:r w:rsidRPr="00842FE5">
        <w:rPr>
          <w:rFonts w:ascii="Times New Roman" w:hAnsi="Times New Roman" w:cs="Times New Roman"/>
          <w:color w:val="0D0D0D" w:themeColor="text1" w:themeTint="F2"/>
          <w:sz w:val="24"/>
          <w:szCs w:val="24"/>
        </w:rPr>
        <w:t xml:space="preserve">nsulin to </w:t>
      </w:r>
      <w:r w:rsidR="00205C42" w:rsidRPr="00842FE5">
        <w:rPr>
          <w:rFonts w:ascii="Times New Roman" w:hAnsi="Times New Roman" w:cs="Times New Roman"/>
          <w:color w:val="0D0D0D" w:themeColor="text1" w:themeTint="F2"/>
          <w:sz w:val="24"/>
          <w:szCs w:val="24"/>
        </w:rPr>
        <w:t>i</w:t>
      </w:r>
      <w:r w:rsidRPr="00842FE5">
        <w:rPr>
          <w:rFonts w:ascii="Times New Roman" w:hAnsi="Times New Roman" w:cs="Times New Roman"/>
          <w:color w:val="0D0D0D" w:themeColor="text1" w:themeTint="F2"/>
          <w:sz w:val="24"/>
          <w:szCs w:val="24"/>
        </w:rPr>
        <w:t xml:space="preserve">nsulin </w:t>
      </w:r>
      <w:r w:rsidR="00205C42" w:rsidRPr="00842FE5">
        <w:rPr>
          <w:rFonts w:ascii="Times New Roman" w:hAnsi="Times New Roman" w:cs="Times New Roman"/>
          <w:color w:val="0D0D0D" w:themeColor="text1" w:themeTint="F2"/>
          <w:sz w:val="24"/>
          <w:szCs w:val="24"/>
        </w:rPr>
        <w:t>g</w:t>
      </w:r>
      <w:r w:rsidRPr="00842FE5">
        <w:rPr>
          <w:rFonts w:ascii="Times New Roman" w:hAnsi="Times New Roman" w:cs="Times New Roman"/>
          <w:color w:val="0D0D0D" w:themeColor="text1" w:themeTint="F2"/>
          <w:sz w:val="24"/>
          <w:szCs w:val="24"/>
        </w:rPr>
        <w:t>largine 300 U/mL: The TRANSITION 2 Study. Diabetes Ther. 2020;11(1):147–59.</w:t>
      </w:r>
    </w:p>
    <w:p w14:paraId="68886211" w14:textId="77777777" w:rsidR="005436D4" w:rsidRDefault="00C033E5" w:rsidP="005436D4">
      <w:pPr>
        <w:pStyle w:val="ListParagraph"/>
        <w:numPr>
          <w:ilvl w:val="0"/>
          <w:numId w:val="17"/>
        </w:numPr>
        <w:spacing w:line="480" w:lineRule="auto"/>
        <w:ind w:left="142" w:hanging="426"/>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Zhou FL, Ye F, Berhanu P,</w:t>
      </w:r>
      <w:r w:rsidR="00653AAE" w:rsidRPr="00842FE5">
        <w:rPr>
          <w:rFonts w:ascii="Times New Roman" w:hAnsi="Times New Roman" w:cs="Times New Roman"/>
          <w:color w:val="0D0D0D" w:themeColor="text1" w:themeTint="F2"/>
          <w:sz w:val="24"/>
          <w:szCs w:val="24"/>
        </w:rPr>
        <w:t xml:space="preserve"> Gupta VE, Gupta RA, Sung J,</w:t>
      </w:r>
      <w:r w:rsidRPr="00842FE5">
        <w:rPr>
          <w:rFonts w:ascii="Times New Roman" w:hAnsi="Times New Roman" w:cs="Times New Roman"/>
          <w:color w:val="0D0D0D" w:themeColor="text1" w:themeTint="F2"/>
          <w:sz w:val="24"/>
          <w:szCs w:val="24"/>
        </w:rPr>
        <w:t xml:space="preserve"> et al. Real-world evidence concerning clinical and economic outcomes of switching to insulin glargine 300 units/mL vs other basal insulins in patients with type 2 diabetes using basal insulin. Diabetes Obes Metab. 2018;20(5):1293–97.</w:t>
      </w:r>
      <w:r w:rsidR="002F484A" w:rsidRPr="007A3C3D">
        <w:rPr>
          <w:rFonts w:ascii="Times New Roman" w:hAnsi="Times New Roman" w:cs="Times New Roman"/>
          <w:color w:val="0D0D0D" w:themeColor="text1" w:themeTint="F2"/>
          <w:sz w:val="24"/>
          <w:szCs w:val="24"/>
        </w:rPr>
        <w:t xml:space="preserve"> </w:t>
      </w:r>
    </w:p>
    <w:p w14:paraId="2F99C42F" w14:textId="43B68CB2" w:rsidR="00087019" w:rsidRDefault="00087019" w:rsidP="005436D4">
      <w:pPr>
        <w:pStyle w:val="ListParagraph"/>
        <w:numPr>
          <w:ilvl w:val="0"/>
          <w:numId w:val="17"/>
        </w:numPr>
        <w:spacing w:line="480" w:lineRule="auto"/>
        <w:ind w:left="142" w:hanging="426"/>
        <w:rPr>
          <w:rFonts w:ascii="Times New Roman" w:hAnsi="Times New Roman" w:cs="Times New Roman"/>
          <w:color w:val="0D0D0D" w:themeColor="text1" w:themeTint="F2"/>
          <w:sz w:val="24"/>
          <w:szCs w:val="24"/>
        </w:rPr>
      </w:pPr>
      <w:r w:rsidRPr="00087019">
        <w:rPr>
          <w:rFonts w:ascii="Times New Roman" w:hAnsi="Times New Roman" w:cs="Times New Roman"/>
          <w:color w:val="0D0D0D" w:themeColor="text1" w:themeTint="F2"/>
          <w:sz w:val="24"/>
          <w:szCs w:val="24"/>
        </w:rPr>
        <w:t>Lau IT, Lee KF, So WY, Tan K, Yeung VTF. Insulin glargine 300 U/mL for basal insulin therapy in type 1 and type 2 diabetes mellitus. Diabetes Metab Syndr Obes. 2017;10:273</w:t>
      </w:r>
      <w:r w:rsidRPr="00842FE5">
        <w:rPr>
          <w:rFonts w:ascii="Times New Roman" w:hAnsi="Times New Roman" w:cs="Times New Roman"/>
          <w:color w:val="0D0D0D" w:themeColor="text1" w:themeTint="F2"/>
          <w:sz w:val="24"/>
          <w:szCs w:val="24"/>
        </w:rPr>
        <w:t>–</w:t>
      </w:r>
      <w:r w:rsidRPr="00087019">
        <w:rPr>
          <w:rFonts w:ascii="Times New Roman" w:hAnsi="Times New Roman" w:cs="Times New Roman"/>
          <w:color w:val="0D0D0D" w:themeColor="text1" w:themeTint="F2"/>
          <w:sz w:val="24"/>
          <w:szCs w:val="24"/>
        </w:rPr>
        <w:t>284.</w:t>
      </w:r>
    </w:p>
    <w:p w14:paraId="3BECE8C0" w14:textId="000F05D6" w:rsidR="00087019" w:rsidRDefault="00087019" w:rsidP="005436D4">
      <w:pPr>
        <w:pStyle w:val="ListParagraph"/>
        <w:numPr>
          <w:ilvl w:val="0"/>
          <w:numId w:val="17"/>
        </w:numPr>
        <w:spacing w:line="480" w:lineRule="auto"/>
        <w:ind w:left="142" w:hanging="426"/>
        <w:rPr>
          <w:rFonts w:ascii="Times New Roman" w:hAnsi="Times New Roman" w:cs="Times New Roman"/>
          <w:color w:val="0D0D0D" w:themeColor="text1" w:themeTint="F2"/>
          <w:sz w:val="24"/>
          <w:szCs w:val="24"/>
        </w:rPr>
      </w:pPr>
      <w:r w:rsidRPr="00087019">
        <w:rPr>
          <w:rFonts w:ascii="Times New Roman" w:hAnsi="Times New Roman" w:cs="Times New Roman"/>
          <w:color w:val="0D0D0D" w:themeColor="text1" w:themeTint="F2"/>
          <w:sz w:val="24"/>
          <w:szCs w:val="24"/>
        </w:rPr>
        <w:t>Becker RH, Dahmen R, Bergmann K, Lehmann A, Jax T, Heise T. New insulin glargine 300 Units · mL-1 provides a more even activity profile and prolonged glycemic control at steady state compared with insulin glargine 100 Units · mL-1. Diabetes Care. 2015;38(4):637</w:t>
      </w:r>
      <w:r w:rsidRPr="00842FE5">
        <w:rPr>
          <w:rFonts w:ascii="Times New Roman" w:hAnsi="Times New Roman" w:cs="Times New Roman"/>
          <w:color w:val="0D0D0D" w:themeColor="text1" w:themeTint="F2"/>
          <w:sz w:val="24"/>
          <w:szCs w:val="24"/>
        </w:rPr>
        <w:t>–</w:t>
      </w:r>
      <w:r w:rsidRPr="00087019">
        <w:rPr>
          <w:rFonts w:ascii="Times New Roman" w:hAnsi="Times New Roman" w:cs="Times New Roman"/>
          <w:color w:val="0D0D0D" w:themeColor="text1" w:themeTint="F2"/>
          <w:sz w:val="24"/>
          <w:szCs w:val="24"/>
        </w:rPr>
        <w:t>43.</w:t>
      </w:r>
    </w:p>
    <w:p w14:paraId="6EB6C8E9" w14:textId="0749C6C8" w:rsidR="00087019" w:rsidRDefault="00087019" w:rsidP="00087019">
      <w:pPr>
        <w:pStyle w:val="ListParagraph"/>
        <w:numPr>
          <w:ilvl w:val="0"/>
          <w:numId w:val="17"/>
        </w:numPr>
        <w:spacing w:line="480" w:lineRule="auto"/>
        <w:ind w:left="142" w:hanging="426"/>
        <w:rPr>
          <w:rFonts w:ascii="Times New Roman" w:hAnsi="Times New Roman" w:cs="Times New Roman"/>
          <w:color w:val="0D0D0D" w:themeColor="text1" w:themeTint="F2"/>
          <w:sz w:val="24"/>
          <w:szCs w:val="24"/>
        </w:rPr>
      </w:pPr>
      <w:r w:rsidRPr="005436D4">
        <w:rPr>
          <w:rFonts w:ascii="Times New Roman" w:hAnsi="Times New Roman" w:cs="Times New Roman"/>
          <w:color w:val="0D0D0D" w:themeColor="text1" w:themeTint="F2"/>
          <w:sz w:val="24"/>
          <w:szCs w:val="24"/>
        </w:rPr>
        <w:t xml:space="preserve">Velojic-Golubovic M, Ciric V, Dimitrijevic M, Kovic T, Mitic M, Olujic B, et al. Clinical benefit of insulin glargine 300 </w:t>
      </w:r>
      <w:r>
        <w:rPr>
          <w:rFonts w:ascii="Times New Roman" w:hAnsi="Times New Roman" w:cs="Times New Roman"/>
          <w:color w:val="0D0D0D" w:themeColor="text1" w:themeTint="F2"/>
          <w:sz w:val="24"/>
          <w:szCs w:val="24"/>
        </w:rPr>
        <w:t>U</w:t>
      </w:r>
      <w:r w:rsidRPr="005436D4">
        <w:rPr>
          <w:rFonts w:ascii="Times New Roman" w:hAnsi="Times New Roman" w:cs="Times New Roman"/>
          <w:color w:val="0D0D0D" w:themeColor="text1" w:themeTint="F2"/>
          <w:sz w:val="24"/>
          <w:szCs w:val="24"/>
        </w:rPr>
        <w:t>/m</w:t>
      </w:r>
      <w:r>
        <w:rPr>
          <w:rFonts w:ascii="Times New Roman" w:hAnsi="Times New Roman" w:cs="Times New Roman"/>
          <w:color w:val="0D0D0D" w:themeColor="text1" w:themeTint="F2"/>
          <w:sz w:val="24"/>
          <w:szCs w:val="24"/>
        </w:rPr>
        <w:t>L</w:t>
      </w:r>
      <w:r w:rsidRPr="005436D4">
        <w:rPr>
          <w:rFonts w:ascii="Times New Roman" w:hAnsi="Times New Roman" w:cs="Times New Roman"/>
          <w:color w:val="0D0D0D" w:themeColor="text1" w:themeTint="F2"/>
          <w:sz w:val="24"/>
          <w:szCs w:val="24"/>
        </w:rPr>
        <w:t xml:space="preserve"> among patients with type 2 diabetes mellitus previously uncontrolled on basal or premixed insulin in </w:t>
      </w:r>
      <w:r>
        <w:rPr>
          <w:rFonts w:ascii="Times New Roman" w:hAnsi="Times New Roman" w:cs="Times New Roman"/>
          <w:color w:val="0D0D0D" w:themeColor="text1" w:themeTint="F2"/>
          <w:sz w:val="24"/>
          <w:szCs w:val="24"/>
        </w:rPr>
        <w:t>S</w:t>
      </w:r>
      <w:r w:rsidRPr="005436D4">
        <w:rPr>
          <w:rFonts w:ascii="Times New Roman" w:hAnsi="Times New Roman" w:cs="Times New Roman"/>
          <w:color w:val="0D0D0D" w:themeColor="text1" w:themeTint="F2"/>
          <w:sz w:val="24"/>
          <w:szCs w:val="24"/>
        </w:rPr>
        <w:t xml:space="preserve">erbia: </w:t>
      </w:r>
      <w:r>
        <w:rPr>
          <w:rFonts w:ascii="Times New Roman" w:hAnsi="Times New Roman" w:cs="Times New Roman"/>
          <w:color w:val="0D0D0D" w:themeColor="text1" w:themeTint="F2"/>
          <w:sz w:val="24"/>
          <w:szCs w:val="24"/>
        </w:rPr>
        <w:t>A</w:t>
      </w:r>
      <w:r w:rsidRPr="005436D4">
        <w:rPr>
          <w:rFonts w:ascii="Times New Roman" w:hAnsi="Times New Roman" w:cs="Times New Roman"/>
          <w:color w:val="0D0D0D" w:themeColor="text1" w:themeTint="F2"/>
          <w:sz w:val="24"/>
          <w:szCs w:val="24"/>
        </w:rPr>
        <w:t xml:space="preserve"> prospective, observational, single-arm, multicenter, real-world study. Diabetes Ther. 2021;12(7):2049</w:t>
      </w:r>
      <w:r w:rsidRPr="00842FE5">
        <w:rPr>
          <w:rFonts w:ascii="Times New Roman" w:hAnsi="Times New Roman" w:cs="Times New Roman"/>
          <w:color w:val="0D0D0D" w:themeColor="text1" w:themeTint="F2"/>
          <w:sz w:val="24"/>
          <w:szCs w:val="24"/>
        </w:rPr>
        <w:t>–</w:t>
      </w:r>
      <w:r w:rsidRPr="005436D4">
        <w:rPr>
          <w:rFonts w:ascii="Times New Roman" w:hAnsi="Times New Roman" w:cs="Times New Roman"/>
          <w:color w:val="0D0D0D" w:themeColor="text1" w:themeTint="F2"/>
          <w:sz w:val="24"/>
          <w:szCs w:val="24"/>
        </w:rPr>
        <w:t xml:space="preserve">2058. </w:t>
      </w:r>
    </w:p>
    <w:p w14:paraId="75467BC4" w14:textId="1F3AD119" w:rsidR="00087019" w:rsidRDefault="00087019" w:rsidP="00087019">
      <w:pPr>
        <w:pStyle w:val="ListParagraph"/>
        <w:numPr>
          <w:ilvl w:val="0"/>
          <w:numId w:val="17"/>
        </w:numPr>
        <w:spacing w:line="480" w:lineRule="auto"/>
        <w:ind w:left="142" w:hanging="426"/>
        <w:rPr>
          <w:rFonts w:ascii="Times New Roman" w:hAnsi="Times New Roman" w:cs="Times New Roman"/>
          <w:color w:val="0D0D0D" w:themeColor="text1" w:themeTint="F2"/>
          <w:sz w:val="24"/>
          <w:szCs w:val="24"/>
        </w:rPr>
      </w:pPr>
      <w:r w:rsidRPr="00C052F4">
        <w:rPr>
          <w:rFonts w:ascii="Times New Roman" w:hAnsi="Times New Roman" w:cs="Times New Roman"/>
          <w:color w:val="0D0D0D" w:themeColor="text1" w:themeTint="F2"/>
          <w:sz w:val="24"/>
          <w:szCs w:val="24"/>
        </w:rPr>
        <w:lastRenderedPageBreak/>
        <w:t xml:space="preserve">Escalada J, Bonnet F, Wu J, Bonnemaire M, Gupta S, Cambron-Mellott JM, </w:t>
      </w:r>
      <w:r>
        <w:rPr>
          <w:rFonts w:ascii="Times New Roman" w:hAnsi="Times New Roman" w:cs="Times New Roman"/>
          <w:color w:val="0D0D0D" w:themeColor="text1" w:themeTint="F2"/>
          <w:sz w:val="24"/>
          <w:szCs w:val="24"/>
        </w:rPr>
        <w:t>et al</w:t>
      </w:r>
      <w:r w:rsidRPr="00C052F4">
        <w:rPr>
          <w:rFonts w:ascii="Times New Roman" w:hAnsi="Times New Roman" w:cs="Times New Roman"/>
          <w:color w:val="0D0D0D" w:themeColor="text1" w:themeTint="F2"/>
          <w:sz w:val="24"/>
          <w:szCs w:val="24"/>
        </w:rPr>
        <w:t xml:space="preserve">. Reduced </w:t>
      </w:r>
      <w:r>
        <w:rPr>
          <w:rFonts w:ascii="Times New Roman" w:hAnsi="Times New Roman" w:cs="Times New Roman"/>
          <w:color w:val="0D0D0D" w:themeColor="text1" w:themeTint="F2"/>
          <w:sz w:val="24"/>
          <w:szCs w:val="24"/>
        </w:rPr>
        <w:t>h</w:t>
      </w:r>
      <w:r w:rsidRPr="00C052F4">
        <w:rPr>
          <w:rFonts w:ascii="Times New Roman" w:hAnsi="Times New Roman" w:cs="Times New Roman"/>
          <w:color w:val="0D0D0D" w:themeColor="text1" w:themeTint="F2"/>
          <w:sz w:val="24"/>
          <w:szCs w:val="24"/>
        </w:rPr>
        <w:t xml:space="preserve">ypoglycemia risk in type 2 diabetes patients switched to/initiating insulin glargine 300 vs 100 u/ml: </w:t>
      </w:r>
      <w:r>
        <w:rPr>
          <w:rFonts w:ascii="Times New Roman" w:hAnsi="Times New Roman" w:cs="Times New Roman"/>
          <w:color w:val="0D0D0D" w:themeColor="text1" w:themeTint="F2"/>
          <w:sz w:val="24"/>
          <w:szCs w:val="24"/>
        </w:rPr>
        <w:t>A</w:t>
      </w:r>
      <w:r w:rsidRPr="00C052F4">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E</w:t>
      </w:r>
      <w:r w:rsidRPr="00C052F4">
        <w:rPr>
          <w:rFonts w:ascii="Times New Roman" w:hAnsi="Times New Roman" w:cs="Times New Roman"/>
          <w:color w:val="0D0D0D" w:themeColor="text1" w:themeTint="F2"/>
          <w:sz w:val="24"/>
          <w:szCs w:val="24"/>
        </w:rPr>
        <w:t>uropean real-world study. Adv Ther. 2020;37(9):3863</w:t>
      </w:r>
      <w:r w:rsidRPr="00842FE5">
        <w:rPr>
          <w:rFonts w:ascii="Times New Roman" w:hAnsi="Times New Roman" w:cs="Times New Roman"/>
          <w:color w:val="0D0D0D" w:themeColor="text1" w:themeTint="F2"/>
          <w:sz w:val="24"/>
          <w:szCs w:val="24"/>
        </w:rPr>
        <w:t>–</w:t>
      </w:r>
      <w:r w:rsidRPr="00C052F4">
        <w:rPr>
          <w:rFonts w:ascii="Times New Roman" w:hAnsi="Times New Roman" w:cs="Times New Roman"/>
          <w:color w:val="0D0D0D" w:themeColor="text1" w:themeTint="F2"/>
          <w:sz w:val="24"/>
          <w:szCs w:val="24"/>
        </w:rPr>
        <w:t>3877.</w:t>
      </w:r>
    </w:p>
    <w:p w14:paraId="719E2D9F" w14:textId="713C15DC" w:rsidR="00B30553" w:rsidRPr="005436D4" w:rsidRDefault="00B30553" w:rsidP="005436D4">
      <w:pPr>
        <w:pStyle w:val="ListParagraph"/>
        <w:numPr>
          <w:ilvl w:val="0"/>
          <w:numId w:val="17"/>
        </w:numPr>
        <w:spacing w:line="480" w:lineRule="auto"/>
        <w:ind w:left="142" w:hanging="426"/>
        <w:rPr>
          <w:rFonts w:ascii="Times New Roman" w:hAnsi="Times New Roman" w:cs="Times New Roman"/>
          <w:color w:val="0D0D0D" w:themeColor="text1" w:themeTint="F2"/>
          <w:sz w:val="24"/>
          <w:szCs w:val="24"/>
        </w:rPr>
      </w:pPr>
      <w:r w:rsidRPr="00B30553">
        <w:rPr>
          <w:rFonts w:ascii="Times New Roman" w:hAnsi="Times New Roman" w:cs="Times New Roman"/>
          <w:color w:val="0D0D0D" w:themeColor="text1" w:themeTint="F2"/>
          <w:sz w:val="24"/>
          <w:szCs w:val="24"/>
        </w:rPr>
        <w:t xml:space="preserve">Carls GS, Tuttle E, Tan RD, Huynh J, Yee J, Edelman SV, </w:t>
      </w:r>
      <w:r>
        <w:rPr>
          <w:rFonts w:ascii="Times New Roman" w:hAnsi="Times New Roman" w:cs="Times New Roman"/>
          <w:color w:val="0D0D0D" w:themeColor="text1" w:themeTint="F2"/>
          <w:sz w:val="24"/>
          <w:szCs w:val="24"/>
        </w:rPr>
        <w:t>et al</w:t>
      </w:r>
      <w:r w:rsidRPr="00B30553">
        <w:rPr>
          <w:rFonts w:ascii="Times New Roman" w:hAnsi="Times New Roman" w:cs="Times New Roman"/>
          <w:color w:val="0D0D0D" w:themeColor="text1" w:themeTint="F2"/>
          <w:sz w:val="24"/>
          <w:szCs w:val="24"/>
        </w:rPr>
        <w:t xml:space="preserve">. Understanding </w:t>
      </w:r>
      <w:r w:rsidR="00087019" w:rsidRPr="00B30553">
        <w:rPr>
          <w:rFonts w:ascii="Times New Roman" w:hAnsi="Times New Roman" w:cs="Times New Roman"/>
          <w:color w:val="0D0D0D" w:themeColor="text1" w:themeTint="F2"/>
          <w:sz w:val="24"/>
          <w:szCs w:val="24"/>
        </w:rPr>
        <w:t>the gap between efficacy in randomized controlled trials and effectiveness in real-world use</w:t>
      </w:r>
      <w:r w:rsidRPr="00B30553">
        <w:rPr>
          <w:rFonts w:ascii="Times New Roman" w:hAnsi="Times New Roman" w:cs="Times New Roman"/>
          <w:color w:val="0D0D0D" w:themeColor="text1" w:themeTint="F2"/>
          <w:sz w:val="24"/>
          <w:szCs w:val="24"/>
        </w:rPr>
        <w:t xml:space="preserve"> of GLP-1 RA and DPP-4 </w:t>
      </w:r>
      <w:r w:rsidR="00087019" w:rsidRPr="00B30553">
        <w:rPr>
          <w:rFonts w:ascii="Times New Roman" w:hAnsi="Times New Roman" w:cs="Times New Roman"/>
          <w:color w:val="0D0D0D" w:themeColor="text1" w:themeTint="F2"/>
          <w:sz w:val="24"/>
          <w:szCs w:val="24"/>
        </w:rPr>
        <w:t>therapies in patients with type 2 diabetes.</w:t>
      </w:r>
      <w:r w:rsidRPr="00B30553">
        <w:rPr>
          <w:rFonts w:ascii="Times New Roman" w:hAnsi="Times New Roman" w:cs="Times New Roman"/>
          <w:color w:val="0D0D0D" w:themeColor="text1" w:themeTint="F2"/>
          <w:sz w:val="24"/>
          <w:szCs w:val="24"/>
        </w:rPr>
        <w:t xml:space="preserve"> Diabetes Care. 2017;40(11):1469</w:t>
      </w:r>
      <w:r w:rsidRPr="00842FE5">
        <w:rPr>
          <w:rFonts w:ascii="Times New Roman" w:hAnsi="Times New Roman" w:cs="Times New Roman"/>
          <w:color w:val="0D0D0D" w:themeColor="text1" w:themeTint="F2"/>
          <w:sz w:val="24"/>
          <w:szCs w:val="24"/>
        </w:rPr>
        <w:t>–</w:t>
      </w:r>
      <w:r w:rsidRPr="00B30553">
        <w:rPr>
          <w:rFonts w:ascii="Times New Roman" w:hAnsi="Times New Roman" w:cs="Times New Roman"/>
          <w:color w:val="0D0D0D" w:themeColor="text1" w:themeTint="F2"/>
          <w:sz w:val="24"/>
          <w:szCs w:val="24"/>
        </w:rPr>
        <w:t>1478.</w:t>
      </w:r>
    </w:p>
    <w:p w14:paraId="59E7901B" w14:textId="6F97831A" w:rsidR="00AC18AA" w:rsidRPr="000A1DFA" w:rsidRDefault="00AC18AA" w:rsidP="006127D9">
      <w:pPr>
        <w:rPr>
          <w:rFonts w:ascii="Times New Roman" w:hAnsi="Times New Roman" w:cs="Times New Roman"/>
          <w:color w:val="0D0D0D" w:themeColor="text1" w:themeTint="F2"/>
          <w:sz w:val="24"/>
          <w:szCs w:val="24"/>
        </w:rPr>
      </w:pPr>
    </w:p>
    <w:p w14:paraId="5E2DB80B" w14:textId="77777777" w:rsidR="00087019" w:rsidRDefault="00087019">
      <w:pPr>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br w:type="page"/>
      </w:r>
    </w:p>
    <w:p w14:paraId="376A97DA" w14:textId="4175C5B0" w:rsidR="00E763ED" w:rsidRPr="00842FE5" w:rsidRDefault="00DA010A" w:rsidP="00C033E5">
      <w:pPr>
        <w:spacing w:line="480" w:lineRule="auto"/>
        <w:rPr>
          <w:rFonts w:ascii="Times New Roman" w:hAnsi="Times New Roman" w:cs="Times New Roman"/>
          <w:b/>
          <w:bCs/>
          <w:color w:val="0D0D0D" w:themeColor="text1" w:themeTint="F2"/>
          <w:sz w:val="24"/>
          <w:szCs w:val="24"/>
        </w:rPr>
      </w:pPr>
      <w:r w:rsidRPr="00842FE5">
        <w:rPr>
          <w:rFonts w:ascii="Times New Roman" w:hAnsi="Times New Roman" w:cs="Times New Roman"/>
          <w:b/>
          <w:bCs/>
          <w:color w:val="0D0D0D" w:themeColor="text1" w:themeTint="F2"/>
          <w:sz w:val="24"/>
          <w:szCs w:val="24"/>
        </w:rPr>
        <w:lastRenderedPageBreak/>
        <w:t>F</w:t>
      </w:r>
      <w:r w:rsidR="00E763ED" w:rsidRPr="00842FE5">
        <w:rPr>
          <w:rFonts w:ascii="Times New Roman" w:hAnsi="Times New Roman" w:cs="Times New Roman"/>
          <w:b/>
          <w:bCs/>
          <w:color w:val="0D0D0D" w:themeColor="text1" w:themeTint="F2"/>
          <w:sz w:val="24"/>
          <w:szCs w:val="24"/>
        </w:rPr>
        <w:t>igures</w:t>
      </w:r>
    </w:p>
    <w:p w14:paraId="7108E504" w14:textId="197C8FD0" w:rsidR="005908B6" w:rsidRPr="00842FE5" w:rsidRDefault="005908B6" w:rsidP="003858C4">
      <w:pPr>
        <w:tabs>
          <w:tab w:val="left" w:pos="3441"/>
        </w:tabs>
        <w:spacing w:line="480" w:lineRule="auto"/>
        <w:ind w:left="360"/>
        <w:rPr>
          <w:rFonts w:ascii="Times New Roman" w:hAnsi="Times New Roman" w:cs="Times New Roman"/>
          <w:b/>
          <w:bCs/>
          <w:color w:val="0D0D0D" w:themeColor="text1" w:themeTint="F2"/>
          <w:sz w:val="24"/>
          <w:szCs w:val="24"/>
        </w:rPr>
      </w:pPr>
      <w:r w:rsidRPr="00842FE5">
        <w:rPr>
          <w:rFonts w:ascii="Times New Roman" w:hAnsi="Times New Roman" w:cs="Times New Roman"/>
          <w:b/>
          <w:bCs/>
          <w:color w:val="0D0D0D" w:themeColor="text1" w:themeTint="F2"/>
          <w:sz w:val="24"/>
          <w:szCs w:val="24"/>
        </w:rPr>
        <w:t xml:space="preserve">Figure 1: </w:t>
      </w:r>
      <w:r w:rsidRPr="00842FE5">
        <w:rPr>
          <w:rFonts w:ascii="Times New Roman" w:hAnsi="Times New Roman" w:cs="Times New Roman"/>
          <w:color w:val="0D0D0D" w:themeColor="text1" w:themeTint="F2"/>
          <w:sz w:val="24"/>
          <w:szCs w:val="24"/>
        </w:rPr>
        <w:t xml:space="preserve">Change in </w:t>
      </w:r>
      <w:r w:rsidR="00A12CEE" w:rsidRPr="00842FE5">
        <w:rPr>
          <w:rFonts w:ascii="Times New Roman" w:hAnsi="Times New Roman" w:cs="Times New Roman"/>
          <w:color w:val="0D0D0D" w:themeColor="text1" w:themeTint="F2"/>
          <w:sz w:val="24"/>
          <w:szCs w:val="24"/>
        </w:rPr>
        <w:t>HbA</w:t>
      </w:r>
      <w:r w:rsidR="00A12CEE" w:rsidRPr="00842FE5">
        <w:rPr>
          <w:rFonts w:ascii="Times New Roman" w:hAnsi="Times New Roman" w:cs="Times New Roman"/>
          <w:color w:val="0D0D0D" w:themeColor="text1" w:themeTint="F2"/>
          <w:sz w:val="24"/>
          <w:szCs w:val="24"/>
          <w:vertAlign w:val="subscript"/>
        </w:rPr>
        <w:t>1c</w:t>
      </w:r>
      <w:r w:rsidR="00A12CEE" w:rsidRPr="00842FE5">
        <w:rPr>
          <w:rFonts w:ascii="Times New Roman" w:hAnsi="Times New Roman" w:cs="Times New Roman"/>
          <w:color w:val="0D0D0D" w:themeColor="text1" w:themeTint="F2"/>
          <w:sz w:val="24"/>
          <w:szCs w:val="24"/>
        </w:rPr>
        <w:t xml:space="preserve"> from baseline to Week 12 and 26</w:t>
      </w:r>
    </w:p>
    <w:p w14:paraId="27942E81" w14:textId="77777777" w:rsidR="008661B3" w:rsidRPr="00842FE5" w:rsidRDefault="008661B3" w:rsidP="00087019">
      <w:pPr>
        <w:tabs>
          <w:tab w:val="left" w:pos="426"/>
        </w:tabs>
        <w:spacing w:line="240" w:lineRule="auto"/>
        <w:ind w:left="357"/>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vertAlign w:val="superscript"/>
        </w:rPr>
        <w:t>*</w:t>
      </w:r>
      <w:r w:rsidRPr="00842FE5">
        <w:rPr>
          <w:rFonts w:ascii="Times New Roman" w:hAnsi="Times New Roman" w:cs="Times New Roman"/>
          <w:color w:val="0D0D0D" w:themeColor="text1" w:themeTint="F2"/>
          <w:sz w:val="24"/>
          <w:szCs w:val="24"/>
        </w:rPr>
        <w:t>Treatment effects are shown as LS mean (95% CI) change from baseline (MMRM model)</w:t>
      </w:r>
    </w:p>
    <w:p w14:paraId="7AC8CBE6" w14:textId="00B2ADE1" w:rsidR="008661B3" w:rsidRPr="005C0778" w:rsidRDefault="008661B3" w:rsidP="008661B3">
      <w:pPr>
        <w:tabs>
          <w:tab w:val="left" w:pos="3441"/>
        </w:tabs>
        <w:spacing w:after="0" w:line="240" w:lineRule="auto"/>
        <w:ind w:left="357"/>
        <w:rPr>
          <w:rFonts w:ascii="Times New Roman" w:hAnsi="Times New Roman" w:cs="Times New Roman"/>
          <w:i/>
          <w:iCs/>
          <w:color w:val="0D0D0D" w:themeColor="text1" w:themeTint="F2"/>
          <w:sz w:val="24"/>
          <w:szCs w:val="24"/>
        </w:rPr>
      </w:pPr>
      <w:r w:rsidRPr="005C0778">
        <w:rPr>
          <w:rFonts w:ascii="Times New Roman" w:hAnsi="Times New Roman" w:cs="Times New Roman"/>
          <w:i/>
          <w:iCs/>
          <w:color w:val="0D0D0D" w:themeColor="text1" w:themeTint="F2"/>
          <w:sz w:val="24"/>
          <w:szCs w:val="24"/>
        </w:rPr>
        <w:t xml:space="preserve">Gla-300 </w:t>
      </w:r>
      <w:r w:rsidRPr="006E51A7">
        <w:rPr>
          <w:rFonts w:ascii="Times New Roman" w:hAnsi="Times New Roman" w:cs="Times New Roman"/>
          <w:color w:val="0D0D0D" w:themeColor="text1" w:themeTint="F2"/>
          <w:sz w:val="24"/>
          <w:szCs w:val="24"/>
        </w:rPr>
        <w:t>insulin glargine 300 units/mL;</w:t>
      </w:r>
      <w:r w:rsidRPr="005C0778">
        <w:rPr>
          <w:rFonts w:ascii="Times New Roman" w:hAnsi="Times New Roman" w:cs="Times New Roman"/>
          <w:i/>
          <w:iCs/>
          <w:color w:val="0D0D0D" w:themeColor="text1" w:themeTint="F2"/>
          <w:sz w:val="24"/>
          <w:szCs w:val="24"/>
        </w:rPr>
        <w:t xml:space="preserve"> HbA</w:t>
      </w:r>
      <w:r w:rsidRPr="005C0778">
        <w:rPr>
          <w:rFonts w:ascii="Times New Roman" w:hAnsi="Times New Roman" w:cs="Times New Roman"/>
          <w:i/>
          <w:iCs/>
          <w:color w:val="0D0D0D" w:themeColor="text1" w:themeTint="F2"/>
          <w:sz w:val="24"/>
          <w:szCs w:val="24"/>
          <w:vertAlign w:val="subscript"/>
        </w:rPr>
        <w:t>1c</w:t>
      </w:r>
      <w:r w:rsidRPr="005C0778">
        <w:rPr>
          <w:rFonts w:ascii="Times New Roman" w:hAnsi="Times New Roman" w:cs="Times New Roman"/>
          <w:i/>
          <w:iCs/>
          <w:color w:val="0D0D0D" w:themeColor="text1" w:themeTint="F2"/>
          <w:sz w:val="24"/>
          <w:szCs w:val="24"/>
        </w:rPr>
        <w:t xml:space="preserve"> </w:t>
      </w:r>
      <w:r w:rsidRPr="006E51A7">
        <w:rPr>
          <w:rFonts w:ascii="Times New Roman" w:hAnsi="Times New Roman" w:cs="Times New Roman"/>
          <w:color w:val="0D0D0D" w:themeColor="text1" w:themeTint="F2"/>
          <w:sz w:val="24"/>
          <w:szCs w:val="24"/>
        </w:rPr>
        <w:t>glycated haemoglobin;</w:t>
      </w:r>
      <w:r w:rsidRPr="005C0778">
        <w:rPr>
          <w:rFonts w:ascii="Times New Roman" w:hAnsi="Times New Roman" w:cs="Times New Roman"/>
          <w:i/>
          <w:iCs/>
          <w:color w:val="0D0D0D" w:themeColor="text1" w:themeTint="F2"/>
          <w:sz w:val="24"/>
          <w:szCs w:val="24"/>
        </w:rPr>
        <w:t xml:space="preserve"> </w:t>
      </w:r>
      <w:r w:rsidRPr="005C0778">
        <w:rPr>
          <w:rFonts w:ascii="Times New Roman" w:hAnsi="Times New Roman" w:cs="Times New Roman"/>
          <w:i/>
          <w:iCs/>
          <w:color w:val="0D0D0D" w:themeColor="text1" w:themeTint="F2"/>
          <w:sz w:val="24"/>
          <w:szCs w:val="24"/>
          <w:lang w:val="en-US"/>
        </w:rPr>
        <w:t xml:space="preserve">MMRM </w:t>
      </w:r>
      <w:r w:rsidRPr="006E51A7">
        <w:rPr>
          <w:rFonts w:ascii="Times New Roman" w:hAnsi="Times New Roman" w:cs="Times New Roman"/>
          <w:color w:val="0D0D0D" w:themeColor="text1" w:themeTint="F2"/>
          <w:sz w:val="24"/>
          <w:szCs w:val="24"/>
          <w:lang w:val="en-US"/>
        </w:rPr>
        <w:t>mixed-effect model with repeated measures;</w:t>
      </w:r>
      <w:r w:rsidRPr="005C0778">
        <w:rPr>
          <w:rFonts w:ascii="Times New Roman" w:hAnsi="Times New Roman" w:cs="Times New Roman"/>
          <w:i/>
          <w:iCs/>
          <w:color w:val="0D0D0D" w:themeColor="text1" w:themeTint="F2"/>
          <w:sz w:val="24"/>
          <w:szCs w:val="24"/>
        </w:rPr>
        <w:t xml:space="preserve"> N </w:t>
      </w:r>
      <w:r w:rsidRPr="006E51A7">
        <w:rPr>
          <w:rFonts w:ascii="Times New Roman" w:hAnsi="Times New Roman" w:cs="Times New Roman"/>
          <w:color w:val="0D0D0D" w:themeColor="text1" w:themeTint="F2"/>
          <w:sz w:val="24"/>
          <w:szCs w:val="24"/>
        </w:rPr>
        <w:t xml:space="preserve">number of </w:t>
      </w:r>
      <w:r w:rsidR="00E5598F" w:rsidRPr="006E51A7">
        <w:rPr>
          <w:rFonts w:ascii="Times New Roman" w:hAnsi="Times New Roman" w:cs="Times New Roman"/>
          <w:color w:val="0D0D0D" w:themeColor="text1" w:themeTint="F2"/>
          <w:sz w:val="24"/>
          <w:szCs w:val="24"/>
        </w:rPr>
        <w:t xml:space="preserve">evaluable </w:t>
      </w:r>
      <w:r w:rsidRPr="006E51A7">
        <w:rPr>
          <w:rFonts w:ascii="Times New Roman" w:hAnsi="Times New Roman" w:cs="Times New Roman"/>
          <w:color w:val="0D0D0D" w:themeColor="text1" w:themeTint="F2"/>
          <w:sz w:val="24"/>
          <w:szCs w:val="24"/>
        </w:rPr>
        <w:t>participants;</w:t>
      </w:r>
      <w:r w:rsidRPr="005C0778">
        <w:rPr>
          <w:rFonts w:ascii="Times New Roman" w:hAnsi="Times New Roman" w:cs="Times New Roman"/>
          <w:i/>
          <w:iCs/>
          <w:color w:val="0D0D0D" w:themeColor="text1" w:themeTint="F2"/>
          <w:sz w:val="24"/>
          <w:szCs w:val="24"/>
          <w:lang w:val="en-US"/>
        </w:rPr>
        <w:t xml:space="preserve"> </w:t>
      </w:r>
      <w:r w:rsidRPr="005C0778">
        <w:rPr>
          <w:rFonts w:ascii="Times New Roman" w:hAnsi="Times New Roman" w:cs="Times New Roman"/>
          <w:i/>
          <w:iCs/>
          <w:color w:val="0D0D0D" w:themeColor="text1" w:themeTint="F2"/>
          <w:sz w:val="24"/>
          <w:szCs w:val="24"/>
        </w:rPr>
        <w:t xml:space="preserve">SD </w:t>
      </w:r>
      <w:r w:rsidRPr="006E51A7">
        <w:rPr>
          <w:rFonts w:ascii="Times New Roman" w:hAnsi="Times New Roman" w:cs="Times New Roman"/>
          <w:color w:val="0D0D0D" w:themeColor="text1" w:themeTint="F2"/>
          <w:sz w:val="24"/>
          <w:szCs w:val="24"/>
        </w:rPr>
        <w:t>standard deviation</w:t>
      </w:r>
      <w:r w:rsidR="00856670" w:rsidRPr="006E51A7">
        <w:rPr>
          <w:rFonts w:ascii="Times New Roman" w:hAnsi="Times New Roman" w:cs="Times New Roman"/>
          <w:color w:val="0D0D0D" w:themeColor="text1" w:themeTint="F2"/>
          <w:sz w:val="24"/>
          <w:szCs w:val="24"/>
        </w:rPr>
        <w:t>.</w:t>
      </w:r>
    </w:p>
    <w:p w14:paraId="217535E0" w14:textId="77777777" w:rsidR="00BF49A5" w:rsidRPr="00842FE5" w:rsidRDefault="00BF49A5" w:rsidP="00DA010A">
      <w:pPr>
        <w:tabs>
          <w:tab w:val="left" w:pos="3441"/>
        </w:tabs>
        <w:spacing w:line="240" w:lineRule="auto"/>
        <w:ind w:left="360"/>
        <w:rPr>
          <w:rFonts w:ascii="Times New Roman" w:hAnsi="Times New Roman" w:cs="Times New Roman"/>
          <w:b/>
          <w:bCs/>
          <w:color w:val="0D0D0D" w:themeColor="text1" w:themeTint="F2"/>
          <w:sz w:val="24"/>
          <w:szCs w:val="24"/>
        </w:rPr>
      </w:pPr>
    </w:p>
    <w:p w14:paraId="47BD264D" w14:textId="2B7E2599" w:rsidR="00FF1AEB" w:rsidRPr="00842FE5" w:rsidRDefault="00FF1AEB" w:rsidP="00DA010A">
      <w:pPr>
        <w:tabs>
          <w:tab w:val="left" w:pos="3441"/>
        </w:tabs>
        <w:spacing w:line="240" w:lineRule="auto"/>
        <w:ind w:left="360"/>
        <w:rPr>
          <w:rFonts w:ascii="Times New Roman" w:hAnsi="Times New Roman" w:cs="Times New Roman"/>
          <w:b/>
          <w:bCs/>
          <w:color w:val="0D0D0D" w:themeColor="text1" w:themeTint="F2"/>
          <w:sz w:val="24"/>
          <w:szCs w:val="24"/>
        </w:rPr>
      </w:pPr>
      <w:r w:rsidRPr="00842FE5">
        <w:rPr>
          <w:rFonts w:ascii="Times New Roman" w:hAnsi="Times New Roman" w:cs="Times New Roman"/>
          <w:b/>
          <w:bCs/>
          <w:color w:val="0D0D0D" w:themeColor="text1" w:themeTint="F2"/>
          <w:sz w:val="24"/>
          <w:szCs w:val="24"/>
        </w:rPr>
        <w:t xml:space="preserve">Figure 2: </w:t>
      </w:r>
      <w:r w:rsidR="002C6585" w:rsidRPr="00842FE5">
        <w:rPr>
          <w:rFonts w:ascii="Times New Roman" w:hAnsi="Times New Roman" w:cs="Times New Roman"/>
          <w:color w:val="0D0D0D" w:themeColor="text1" w:themeTint="F2"/>
          <w:sz w:val="24"/>
          <w:szCs w:val="24"/>
        </w:rPr>
        <w:t xml:space="preserve">Change in </w:t>
      </w:r>
      <w:r w:rsidR="009256BD" w:rsidRPr="00842FE5">
        <w:rPr>
          <w:rFonts w:ascii="Times New Roman" w:hAnsi="Times New Roman" w:cs="Times New Roman"/>
          <w:color w:val="0D0D0D" w:themeColor="text1" w:themeTint="F2"/>
          <w:sz w:val="24"/>
          <w:szCs w:val="24"/>
        </w:rPr>
        <w:t xml:space="preserve">(A) </w:t>
      </w:r>
      <w:r w:rsidR="002C6585" w:rsidRPr="00842FE5">
        <w:rPr>
          <w:rFonts w:ascii="Times New Roman" w:hAnsi="Times New Roman" w:cs="Times New Roman"/>
          <w:color w:val="0D0D0D" w:themeColor="text1" w:themeTint="F2"/>
          <w:sz w:val="24"/>
          <w:szCs w:val="24"/>
        </w:rPr>
        <w:t xml:space="preserve">FPG, </w:t>
      </w:r>
      <w:r w:rsidR="009256BD" w:rsidRPr="00842FE5">
        <w:rPr>
          <w:rFonts w:ascii="Times New Roman" w:hAnsi="Times New Roman" w:cs="Times New Roman"/>
          <w:color w:val="0D0D0D" w:themeColor="text1" w:themeTint="F2"/>
          <w:sz w:val="24"/>
          <w:szCs w:val="24"/>
        </w:rPr>
        <w:t xml:space="preserve">(B) </w:t>
      </w:r>
      <w:r w:rsidR="002C6585" w:rsidRPr="00842FE5">
        <w:rPr>
          <w:rFonts w:ascii="Times New Roman" w:hAnsi="Times New Roman" w:cs="Times New Roman"/>
          <w:color w:val="0D0D0D" w:themeColor="text1" w:themeTint="F2"/>
          <w:sz w:val="24"/>
          <w:szCs w:val="24"/>
        </w:rPr>
        <w:t>SMPG</w:t>
      </w:r>
      <w:r w:rsidR="009256BD" w:rsidRPr="00842FE5">
        <w:rPr>
          <w:rFonts w:ascii="Times New Roman" w:hAnsi="Times New Roman" w:cs="Times New Roman"/>
          <w:color w:val="0D0D0D" w:themeColor="text1" w:themeTint="F2"/>
          <w:sz w:val="24"/>
          <w:szCs w:val="24"/>
        </w:rPr>
        <w:t>,</w:t>
      </w:r>
      <w:r w:rsidR="002C6585" w:rsidRPr="00842FE5">
        <w:rPr>
          <w:rFonts w:ascii="Times New Roman" w:hAnsi="Times New Roman" w:cs="Times New Roman"/>
          <w:color w:val="0D0D0D" w:themeColor="text1" w:themeTint="F2"/>
          <w:sz w:val="24"/>
          <w:szCs w:val="24"/>
        </w:rPr>
        <w:t xml:space="preserve"> </w:t>
      </w:r>
      <w:r w:rsidR="009256BD" w:rsidRPr="00842FE5">
        <w:rPr>
          <w:rFonts w:ascii="Times New Roman" w:hAnsi="Times New Roman" w:cs="Times New Roman"/>
          <w:color w:val="0D0D0D" w:themeColor="text1" w:themeTint="F2"/>
          <w:sz w:val="24"/>
          <w:szCs w:val="24"/>
        </w:rPr>
        <w:t xml:space="preserve">(C) </w:t>
      </w:r>
      <w:r w:rsidR="00B41827" w:rsidRPr="00842FE5">
        <w:rPr>
          <w:rFonts w:ascii="Times New Roman" w:hAnsi="Times New Roman" w:cs="Times New Roman"/>
          <w:color w:val="0D0D0D" w:themeColor="text1" w:themeTint="F2"/>
          <w:sz w:val="24"/>
          <w:szCs w:val="24"/>
        </w:rPr>
        <w:t>7-point SMPG</w:t>
      </w:r>
      <w:r w:rsidR="009256BD" w:rsidRPr="00842FE5">
        <w:rPr>
          <w:rFonts w:ascii="Times New Roman" w:hAnsi="Times New Roman" w:cs="Times New Roman"/>
          <w:color w:val="0D0D0D" w:themeColor="text1" w:themeTint="F2"/>
          <w:sz w:val="24"/>
          <w:szCs w:val="24"/>
        </w:rPr>
        <w:t xml:space="preserve"> and</w:t>
      </w:r>
      <w:r w:rsidR="00B41827" w:rsidRPr="00842FE5">
        <w:rPr>
          <w:rFonts w:ascii="Times New Roman" w:hAnsi="Times New Roman" w:cs="Times New Roman"/>
          <w:color w:val="0D0D0D" w:themeColor="text1" w:themeTint="F2"/>
          <w:sz w:val="24"/>
          <w:szCs w:val="24"/>
        </w:rPr>
        <w:t xml:space="preserve"> </w:t>
      </w:r>
      <w:r w:rsidR="00BE1237" w:rsidRPr="00842FE5">
        <w:rPr>
          <w:rFonts w:ascii="Times New Roman" w:hAnsi="Times New Roman" w:cs="Times New Roman"/>
          <w:color w:val="0D0D0D" w:themeColor="text1" w:themeTint="F2"/>
          <w:sz w:val="24"/>
          <w:szCs w:val="24"/>
        </w:rPr>
        <w:t xml:space="preserve">(D) </w:t>
      </w:r>
      <w:r w:rsidR="009256BD" w:rsidRPr="00842FE5">
        <w:rPr>
          <w:rFonts w:ascii="Times New Roman" w:hAnsi="Times New Roman" w:cs="Times New Roman"/>
          <w:color w:val="0D0D0D" w:themeColor="text1" w:themeTint="F2"/>
          <w:sz w:val="24"/>
          <w:szCs w:val="24"/>
        </w:rPr>
        <w:t xml:space="preserve">BI dose </w:t>
      </w:r>
      <w:r w:rsidR="002C6585" w:rsidRPr="00842FE5">
        <w:rPr>
          <w:rFonts w:ascii="Times New Roman" w:hAnsi="Times New Roman" w:cs="Times New Roman"/>
          <w:color w:val="0D0D0D" w:themeColor="text1" w:themeTint="F2"/>
          <w:sz w:val="24"/>
          <w:szCs w:val="24"/>
        </w:rPr>
        <w:t>from baseline to Week 12 and 26</w:t>
      </w:r>
      <w:r w:rsidR="002C6585" w:rsidRPr="00842FE5">
        <w:rPr>
          <w:rFonts w:ascii="Times New Roman" w:hAnsi="Times New Roman" w:cs="Times New Roman"/>
          <w:b/>
          <w:bCs/>
          <w:color w:val="0D0D0D" w:themeColor="text1" w:themeTint="F2"/>
          <w:sz w:val="24"/>
          <w:szCs w:val="24"/>
        </w:rPr>
        <w:t xml:space="preserve"> </w:t>
      </w:r>
    </w:p>
    <w:p w14:paraId="7EEF0359" w14:textId="77777777" w:rsidR="003A24BB" w:rsidRPr="00842FE5" w:rsidRDefault="003A24BB" w:rsidP="003A24BB">
      <w:pPr>
        <w:tabs>
          <w:tab w:val="left" w:pos="3441"/>
        </w:tabs>
        <w:spacing w:line="240" w:lineRule="auto"/>
        <w:ind w:left="360"/>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*Treatment effects are shown as LS mean (95% CI) change from baseline (MMRM model)</w:t>
      </w:r>
    </w:p>
    <w:p w14:paraId="30E037FB" w14:textId="213857BA" w:rsidR="003A24BB" w:rsidRPr="00842FE5" w:rsidRDefault="003A24BB" w:rsidP="003A24BB">
      <w:pPr>
        <w:tabs>
          <w:tab w:val="left" w:pos="3441"/>
        </w:tabs>
        <w:spacing w:line="240" w:lineRule="auto"/>
        <w:ind w:left="360"/>
        <w:rPr>
          <w:rFonts w:ascii="Times New Roman" w:hAnsi="Times New Roman" w:cs="Times New Roman"/>
          <w:color w:val="0D0D0D" w:themeColor="text1" w:themeTint="F2"/>
          <w:sz w:val="24"/>
          <w:szCs w:val="24"/>
        </w:rPr>
      </w:pPr>
      <w:r w:rsidRPr="007E497B">
        <w:rPr>
          <w:rFonts w:ascii="Times New Roman" w:hAnsi="Times New Roman" w:cs="Times New Roman"/>
          <w:i/>
          <w:iCs/>
          <w:color w:val="0D0D0D" w:themeColor="text1" w:themeTint="F2"/>
          <w:sz w:val="24"/>
          <w:szCs w:val="24"/>
        </w:rPr>
        <w:t>BI</w:t>
      </w:r>
      <w:r w:rsidRPr="00842FE5">
        <w:rPr>
          <w:rFonts w:ascii="Times New Roman" w:hAnsi="Times New Roman" w:cs="Times New Roman"/>
          <w:color w:val="0D0D0D" w:themeColor="text1" w:themeTint="F2"/>
          <w:sz w:val="24"/>
          <w:szCs w:val="24"/>
        </w:rPr>
        <w:t xml:space="preserve"> basal insulin; </w:t>
      </w:r>
      <w:r w:rsidRPr="007E497B">
        <w:rPr>
          <w:rFonts w:ascii="Times New Roman" w:hAnsi="Times New Roman" w:cs="Times New Roman"/>
          <w:i/>
          <w:iCs/>
          <w:color w:val="0D0D0D" w:themeColor="text1" w:themeTint="F2"/>
          <w:sz w:val="24"/>
          <w:szCs w:val="24"/>
        </w:rPr>
        <w:t>FPG</w:t>
      </w:r>
      <w:r w:rsidRPr="00842FE5">
        <w:rPr>
          <w:rFonts w:ascii="Times New Roman" w:hAnsi="Times New Roman" w:cs="Times New Roman"/>
          <w:color w:val="0D0D0D" w:themeColor="text1" w:themeTint="F2"/>
          <w:sz w:val="24"/>
          <w:szCs w:val="24"/>
        </w:rPr>
        <w:t xml:space="preserve"> fasting plasma glucose; </w:t>
      </w:r>
      <w:r w:rsidRPr="00402634">
        <w:rPr>
          <w:rFonts w:ascii="Times New Roman" w:hAnsi="Times New Roman" w:cs="Times New Roman"/>
          <w:i/>
          <w:iCs/>
          <w:color w:val="0D0D0D" w:themeColor="text1" w:themeTint="F2"/>
          <w:sz w:val="24"/>
          <w:szCs w:val="24"/>
        </w:rPr>
        <w:t>Gla-300</w:t>
      </w:r>
      <w:r w:rsidRPr="00842FE5">
        <w:rPr>
          <w:rFonts w:ascii="Times New Roman" w:hAnsi="Times New Roman" w:cs="Times New Roman"/>
          <w:color w:val="0D0D0D" w:themeColor="text1" w:themeTint="F2"/>
          <w:sz w:val="24"/>
          <w:szCs w:val="24"/>
        </w:rPr>
        <w:t xml:space="preserve"> insulin glargine 300 units/mL; </w:t>
      </w:r>
      <w:r w:rsidRPr="00402634">
        <w:rPr>
          <w:rFonts w:ascii="Times New Roman" w:hAnsi="Times New Roman" w:cs="Times New Roman"/>
          <w:i/>
          <w:iCs/>
          <w:color w:val="0D0D0D" w:themeColor="text1" w:themeTint="F2"/>
          <w:sz w:val="24"/>
          <w:szCs w:val="24"/>
        </w:rPr>
        <w:t>MMRM</w:t>
      </w:r>
      <w:r w:rsidRPr="00842FE5">
        <w:rPr>
          <w:rFonts w:ascii="Times New Roman" w:hAnsi="Times New Roman" w:cs="Times New Roman"/>
          <w:color w:val="0D0D0D" w:themeColor="text1" w:themeTint="F2"/>
          <w:sz w:val="24"/>
          <w:szCs w:val="24"/>
        </w:rPr>
        <w:t xml:space="preserve"> mixed-effect model with repeated measures; </w:t>
      </w:r>
      <w:r w:rsidRPr="00402634">
        <w:rPr>
          <w:rFonts w:ascii="Times New Roman" w:hAnsi="Times New Roman" w:cs="Times New Roman"/>
          <w:i/>
          <w:iCs/>
          <w:color w:val="0D0D0D" w:themeColor="text1" w:themeTint="F2"/>
          <w:sz w:val="24"/>
          <w:szCs w:val="24"/>
        </w:rPr>
        <w:t>N</w:t>
      </w:r>
      <w:r w:rsidRPr="00842FE5">
        <w:rPr>
          <w:rFonts w:ascii="Times New Roman" w:hAnsi="Times New Roman" w:cs="Times New Roman"/>
          <w:color w:val="0D0D0D" w:themeColor="text1" w:themeTint="F2"/>
          <w:sz w:val="24"/>
          <w:szCs w:val="24"/>
        </w:rPr>
        <w:t xml:space="preserve"> number of evaluable participants; </w:t>
      </w:r>
      <w:r w:rsidRPr="00402634">
        <w:rPr>
          <w:rFonts w:ascii="Times New Roman" w:hAnsi="Times New Roman" w:cs="Times New Roman"/>
          <w:i/>
          <w:iCs/>
          <w:color w:val="0D0D0D" w:themeColor="text1" w:themeTint="F2"/>
          <w:sz w:val="24"/>
          <w:szCs w:val="24"/>
        </w:rPr>
        <w:t>SD</w:t>
      </w:r>
      <w:r w:rsidRPr="00842FE5">
        <w:rPr>
          <w:rFonts w:ascii="Times New Roman" w:hAnsi="Times New Roman" w:cs="Times New Roman"/>
          <w:color w:val="0D0D0D" w:themeColor="text1" w:themeTint="F2"/>
          <w:sz w:val="24"/>
          <w:szCs w:val="24"/>
        </w:rPr>
        <w:t xml:space="preserve"> standard deviation; </w:t>
      </w:r>
      <w:r w:rsidRPr="00402634">
        <w:rPr>
          <w:rFonts w:ascii="Times New Roman" w:hAnsi="Times New Roman" w:cs="Times New Roman"/>
          <w:i/>
          <w:iCs/>
          <w:color w:val="0D0D0D" w:themeColor="text1" w:themeTint="F2"/>
          <w:sz w:val="24"/>
          <w:szCs w:val="24"/>
        </w:rPr>
        <w:t>SMPG</w:t>
      </w:r>
      <w:r w:rsidRPr="00842FE5">
        <w:rPr>
          <w:rFonts w:ascii="Times New Roman" w:hAnsi="Times New Roman" w:cs="Times New Roman"/>
          <w:color w:val="0D0D0D" w:themeColor="text1" w:themeTint="F2"/>
          <w:sz w:val="24"/>
          <w:szCs w:val="24"/>
        </w:rPr>
        <w:t xml:space="preserve"> self-monitored plasma glucose</w:t>
      </w:r>
      <w:r w:rsidR="005E6EE9">
        <w:rPr>
          <w:rFonts w:ascii="Times New Roman" w:hAnsi="Times New Roman" w:cs="Times New Roman"/>
          <w:color w:val="0D0D0D" w:themeColor="text1" w:themeTint="F2"/>
          <w:sz w:val="24"/>
          <w:szCs w:val="24"/>
        </w:rPr>
        <w:t>.</w:t>
      </w:r>
    </w:p>
    <w:p w14:paraId="514E453D" w14:textId="77777777" w:rsidR="00BF49A5" w:rsidRPr="00842FE5" w:rsidRDefault="00BF49A5">
      <w:pPr>
        <w:rPr>
          <w:rFonts w:ascii="Times New Roman" w:hAnsi="Times New Roman" w:cs="Times New Roman"/>
          <w:b/>
          <w:bCs/>
          <w:color w:val="0D0D0D" w:themeColor="text1" w:themeTint="F2"/>
          <w:sz w:val="24"/>
          <w:szCs w:val="24"/>
        </w:rPr>
      </w:pPr>
      <w:r w:rsidRPr="00842FE5">
        <w:rPr>
          <w:rFonts w:ascii="Times New Roman" w:hAnsi="Times New Roman" w:cs="Times New Roman"/>
          <w:b/>
          <w:bCs/>
          <w:color w:val="0D0D0D" w:themeColor="text1" w:themeTint="F2"/>
          <w:sz w:val="24"/>
          <w:szCs w:val="24"/>
        </w:rPr>
        <w:br w:type="page"/>
      </w:r>
    </w:p>
    <w:p w14:paraId="0EB08FDC" w14:textId="500B01BB" w:rsidR="009256BD" w:rsidRPr="00842FE5" w:rsidRDefault="000C1D87" w:rsidP="002F484A">
      <w:pPr>
        <w:rPr>
          <w:rFonts w:ascii="Times New Roman" w:hAnsi="Times New Roman" w:cs="Times New Roman"/>
          <w:b/>
          <w:bCs/>
          <w:color w:val="0D0D0D" w:themeColor="text1" w:themeTint="F2"/>
          <w:sz w:val="24"/>
          <w:szCs w:val="24"/>
        </w:rPr>
      </w:pPr>
      <w:r w:rsidRPr="00842FE5">
        <w:rPr>
          <w:rFonts w:ascii="Times New Roman" w:hAnsi="Times New Roman" w:cs="Times New Roman"/>
          <w:b/>
          <w:bCs/>
          <w:color w:val="0D0D0D" w:themeColor="text1" w:themeTint="F2"/>
          <w:sz w:val="24"/>
          <w:szCs w:val="24"/>
        </w:rPr>
        <w:lastRenderedPageBreak/>
        <w:t xml:space="preserve">Table 1: </w:t>
      </w:r>
      <w:r w:rsidR="00275393" w:rsidRPr="00842FE5">
        <w:rPr>
          <w:rFonts w:ascii="Times New Roman" w:hAnsi="Times New Roman" w:cs="Times New Roman"/>
          <w:color w:val="0D0D0D" w:themeColor="text1" w:themeTint="F2"/>
          <w:sz w:val="24"/>
          <w:szCs w:val="24"/>
        </w:rPr>
        <w:t>Gla-300 starting d</w:t>
      </w:r>
      <w:r w:rsidRPr="00842FE5">
        <w:rPr>
          <w:rFonts w:ascii="Times New Roman" w:hAnsi="Times New Roman" w:cs="Times New Roman"/>
          <w:color w:val="0D0D0D" w:themeColor="text1" w:themeTint="F2"/>
          <w:sz w:val="24"/>
          <w:szCs w:val="24"/>
        </w:rPr>
        <w:t xml:space="preserve">ose </w:t>
      </w:r>
      <w:r w:rsidR="00275393" w:rsidRPr="00842FE5">
        <w:rPr>
          <w:rFonts w:ascii="Times New Roman" w:hAnsi="Times New Roman" w:cs="Times New Roman"/>
          <w:color w:val="0D0D0D" w:themeColor="text1" w:themeTint="F2"/>
          <w:sz w:val="24"/>
          <w:szCs w:val="24"/>
        </w:rPr>
        <w:t>and t</w:t>
      </w:r>
      <w:r w:rsidRPr="00842FE5">
        <w:rPr>
          <w:rFonts w:ascii="Times New Roman" w:hAnsi="Times New Roman" w:cs="Times New Roman"/>
          <w:color w:val="0D0D0D" w:themeColor="text1" w:themeTint="F2"/>
          <w:sz w:val="24"/>
          <w:szCs w:val="24"/>
        </w:rPr>
        <w:t xml:space="preserve">itration </w:t>
      </w:r>
      <w:r w:rsidR="00275393" w:rsidRPr="00842FE5">
        <w:rPr>
          <w:rFonts w:ascii="Times New Roman" w:hAnsi="Times New Roman" w:cs="Times New Roman"/>
          <w:color w:val="0D0D0D" w:themeColor="text1" w:themeTint="F2"/>
          <w:sz w:val="24"/>
          <w:szCs w:val="24"/>
        </w:rPr>
        <w:t>a</w:t>
      </w:r>
      <w:r w:rsidRPr="00842FE5">
        <w:rPr>
          <w:rFonts w:ascii="Times New Roman" w:hAnsi="Times New Roman" w:cs="Times New Roman"/>
          <w:color w:val="0D0D0D" w:themeColor="text1" w:themeTint="F2"/>
          <w:sz w:val="24"/>
          <w:szCs w:val="24"/>
        </w:rPr>
        <w:t>lgorithm</w:t>
      </w:r>
    </w:p>
    <w:tbl>
      <w:tblPr>
        <w:tblStyle w:val="TableGrid"/>
        <w:tblW w:w="0" w:type="auto"/>
        <w:tblLook w:val="04A0" w:firstRow="1" w:lastRow="0" w:firstColumn="1" w:lastColumn="0" w:noHBand="0" w:noVBand="1"/>
      </w:tblPr>
      <w:tblGrid>
        <w:gridCol w:w="4592"/>
        <w:gridCol w:w="4759"/>
      </w:tblGrid>
      <w:tr w:rsidR="00842FE5" w:rsidRPr="00842FE5" w14:paraId="45DBC041" w14:textId="77777777" w:rsidTr="005725F2">
        <w:trPr>
          <w:trHeight w:val="113"/>
        </w:trPr>
        <w:tc>
          <w:tcPr>
            <w:tcW w:w="9351" w:type="dxa"/>
            <w:gridSpan w:val="2"/>
            <w:vAlign w:val="bottom"/>
          </w:tcPr>
          <w:p w14:paraId="4376F682" w14:textId="758D9491" w:rsidR="00275393" w:rsidRPr="00842FE5" w:rsidRDefault="00275393" w:rsidP="007E69A9">
            <w:pPr>
              <w:spacing w:line="276" w:lineRule="auto"/>
              <w:rPr>
                <w:rFonts w:ascii="Times New Roman" w:hAnsi="Times New Roman" w:cs="Times New Roman"/>
                <w:b/>
                <w:bCs/>
                <w:color w:val="0D0D0D" w:themeColor="text1" w:themeTint="F2"/>
                <w:sz w:val="24"/>
                <w:szCs w:val="24"/>
                <w:lang w:val="en-IN"/>
              </w:rPr>
            </w:pPr>
            <w:r w:rsidRPr="00842FE5">
              <w:rPr>
                <w:rFonts w:ascii="Times New Roman" w:hAnsi="Times New Roman" w:cs="Times New Roman"/>
                <w:b/>
                <w:bCs/>
                <w:color w:val="0D0D0D" w:themeColor="text1" w:themeTint="F2"/>
                <w:sz w:val="24"/>
                <w:szCs w:val="24"/>
                <w:lang w:val="en-IN"/>
              </w:rPr>
              <w:t>Gla-300 starting dose</w:t>
            </w:r>
          </w:p>
        </w:tc>
      </w:tr>
      <w:tr w:rsidR="00842FE5" w:rsidRPr="00842FE5" w14:paraId="4186BD89" w14:textId="77777777" w:rsidTr="005725F2">
        <w:trPr>
          <w:trHeight w:val="113"/>
        </w:trPr>
        <w:tc>
          <w:tcPr>
            <w:tcW w:w="4592" w:type="dxa"/>
            <w:vAlign w:val="bottom"/>
          </w:tcPr>
          <w:p w14:paraId="0A2FEAF4" w14:textId="776E5948" w:rsidR="00275393" w:rsidRPr="00842FE5" w:rsidRDefault="002E111D" w:rsidP="005E0FBD">
            <w:pPr>
              <w:spacing w:line="276" w:lineRule="auto"/>
              <w:rPr>
                <w:rFonts w:ascii="Times New Roman" w:hAnsi="Times New Roman" w:cs="Times New Roman"/>
                <w:b/>
                <w:bCs/>
                <w:color w:val="0D0D0D" w:themeColor="text1" w:themeTint="F2"/>
                <w:sz w:val="24"/>
                <w:szCs w:val="24"/>
                <w:lang w:val="en-IN"/>
              </w:rPr>
            </w:pPr>
            <w:r w:rsidRPr="00842FE5">
              <w:rPr>
                <w:rFonts w:ascii="Times New Roman" w:hAnsi="Times New Roman" w:cs="Times New Roman"/>
                <w:b/>
                <w:bCs/>
                <w:color w:val="0D0D0D" w:themeColor="text1" w:themeTint="F2"/>
                <w:sz w:val="24"/>
                <w:szCs w:val="24"/>
                <w:lang w:val="en-IN"/>
              </w:rPr>
              <w:t>Previous BI</w:t>
            </w:r>
          </w:p>
        </w:tc>
        <w:tc>
          <w:tcPr>
            <w:tcW w:w="4759" w:type="dxa"/>
            <w:vAlign w:val="bottom"/>
          </w:tcPr>
          <w:p w14:paraId="6B5546B7" w14:textId="5963FB32" w:rsidR="00275393" w:rsidRPr="00842FE5" w:rsidRDefault="002E111D" w:rsidP="005E0FBD">
            <w:pPr>
              <w:spacing w:line="276" w:lineRule="auto"/>
              <w:rPr>
                <w:rFonts w:ascii="Times New Roman" w:hAnsi="Times New Roman" w:cs="Times New Roman"/>
                <w:color w:val="0D0D0D" w:themeColor="text1" w:themeTint="F2"/>
                <w:sz w:val="24"/>
                <w:szCs w:val="24"/>
                <w:lang w:val="en-IN"/>
              </w:rPr>
            </w:pPr>
            <w:r w:rsidRPr="00842FE5">
              <w:rPr>
                <w:rFonts w:ascii="Times New Roman" w:hAnsi="Times New Roman" w:cs="Times New Roman"/>
                <w:b/>
                <w:bCs/>
                <w:color w:val="0D0D0D" w:themeColor="text1" w:themeTint="F2"/>
                <w:sz w:val="24"/>
                <w:szCs w:val="24"/>
                <w:lang w:val="en-IN"/>
              </w:rPr>
              <w:t xml:space="preserve">Recommended </w:t>
            </w:r>
            <w:r w:rsidR="00C203FA" w:rsidRPr="00842FE5">
              <w:rPr>
                <w:rFonts w:ascii="Times New Roman" w:hAnsi="Times New Roman" w:cs="Times New Roman"/>
                <w:b/>
                <w:bCs/>
                <w:color w:val="0D0D0D" w:themeColor="text1" w:themeTint="F2"/>
                <w:sz w:val="24"/>
                <w:szCs w:val="24"/>
                <w:lang w:val="en-IN"/>
              </w:rPr>
              <w:t xml:space="preserve">Gla-300 </w:t>
            </w:r>
            <w:r w:rsidRPr="00842FE5">
              <w:rPr>
                <w:rFonts w:ascii="Times New Roman" w:hAnsi="Times New Roman" w:cs="Times New Roman"/>
                <w:b/>
                <w:bCs/>
                <w:color w:val="0D0D0D" w:themeColor="text1" w:themeTint="F2"/>
                <w:sz w:val="24"/>
                <w:szCs w:val="24"/>
                <w:lang w:val="en-IN"/>
              </w:rPr>
              <w:t>starting dose</w:t>
            </w:r>
          </w:p>
        </w:tc>
      </w:tr>
      <w:tr w:rsidR="00842FE5" w:rsidRPr="00842FE5" w14:paraId="57A10262" w14:textId="77777777" w:rsidTr="005725F2">
        <w:trPr>
          <w:trHeight w:val="113"/>
        </w:trPr>
        <w:tc>
          <w:tcPr>
            <w:tcW w:w="4592" w:type="dxa"/>
            <w:vAlign w:val="bottom"/>
          </w:tcPr>
          <w:p w14:paraId="7B55F4FB" w14:textId="42CB0EDB" w:rsidR="002E111D" w:rsidRPr="00842FE5" w:rsidRDefault="002E111D" w:rsidP="005E0FBD">
            <w:pPr>
              <w:spacing w:line="276" w:lineRule="auto"/>
              <w:rPr>
                <w:rFonts w:ascii="Times New Roman" w:hAnsi="Times New Roman" w:cs="Times New Roman"/>
                <w:color w:val="0D0D0D" w:themeColor="text1" w:themeTint="F2"/>
                <w:sz w:val="24"/>
                <w:szCs w:val="24"/>
                <w:lang w:val="en-IN"/>
              </w:rPr>
            </w:pPr>
            <w:r w:rsidRPr="00842FE5">
              <w:rPr>
                <w:rFonts w:ascii="Times New Roman" w:hAnsi="Times New Roman" w:cs="Times New Roman"/>
                <w:color w:val="0D0D0D" w:themeColor="text1" w:themeTint="F2"/>
                <w:sz w:val="24"/>
                <w:szCs w:val="24"/>
                <w:lang w:val="en-IN"/>
              </w:rPr>
              <w:t>Gla-100</w:t>
            </w:r>
          </w:p>
        </w:tc>
        <w:tc>
          <w:tcPr>
            <w:tcW w:w="4759" w:type="dxa"/>
            <w:vAlign w:val="bottom"/>
          </w:tcPr>
          <w:p w14:paraId="2BA442BC" w14:textId="7EC84D00" w:rsidR="002E111D" w:rsidRPr="00842FE5" w:rsidRDefault="0019499D" w:rsidP="005E0FBD">
            <w:pPr>
              <w:spacing w:line="276" w:lineRule="auto"/>
              <w:rPr>
                <w:rFonts w:ascii="Times New Roman" w:hAnsi="Times New Roman" w:cs="Times New Roman"/>
                <w:color w:val="0D0D0D" w:themeColor="text1" w:themeTint="F2"/>
                <w:sz w:val="24"/>
                <w:szCs w:val="24"/>
                <w:lang w:val="en-IN"/>
              </w:rPr>
            </w:pPr>
            <w:r w:rsidRPr="00842FE5">
              <w:rPr>
                <w:rFonts w:ascii="Times New Roman" w:hAnsi="Times New Roman" w:cs="Times New Roman"/>
                <w:color w:val="0D0D0D" w:themeColor="text1" w:themeTint="F2"/>
                <w:sz w:val="24"/>
                <w:szCs w:val="24"/>
                <w:lang w:val="en-IN"/>
              </w:rPr>
              <w:t>Same as the total daily Gla-100 dose</w:t>
            </w:r>
            <w:r w:rsidR="00685F42" w:rsidRPr="00842FE5">
              <w:rPr>
                <w:rFonts w:ascii="Times New Roman" w:hAnsi="Times New Roman" w:cs="Times New Roman"/>
                <w:color w:val="0D0D0D" w:themeColor="text1" w:themeTint="F2"/>
                <w:sz w:val="24"/>
                <w:szCs w:val="24"/>
                <w:lang w:val="en-IN"/>
              </w:rPr>
              <w:t xml:space="preserve"> </w:t>
            </w:r>
          </w:p>
        </w:tc>
      </w:tr>
      <w:tr w:rsidR="00842FE5" w:rsidRPr="00842FE5" w14:paraId="2050BB9C" w14:textId="77777777" w:rsidTr="005725F2">
        <w:trPr>
          <w:trHeight w:val="113"/>
        </w:trPr>
        <w:tc>
          <w:tcPr>
            <w:tcW w:w="4592" w:type="dxa"/>
            <w:vAlign w:val="bottom"/>
          </w:tcPr>
          <w:p w14:paraId="769083BD" w14:textId="600AFC02" w:rsidR="00275393" w:rsidRPr="00842FE5" w:rsidRDefault="00685F42" w:rsidP="005E0FBD">
            <w:pPr>
              <w:spacing w:line="276" w:lineRule="auto"/>
              <w:rPr>
                <w:rFonts w:ascii="Times New Roman" w:hAnsi="Times New Roman" w:cs="Times New Roman"/>
                <w:color w:val="0D0D0D" w:themeColor="text1" w:themeTint="F2"/>
                <w:sz w:val="24"/>
                <w:szCs w:val="24"/>
                <w:lang w:val="en-IN"/>
              </w:rPr>
            </w:pPr>
            <w:r w:rsidRPr="00842FE5">
              <w:rPr>
                <w:rFonts w:ascii="Times New Roman" w:hAnsi="Times New Roman" w:cs="Times New Roman"/>
                <w:color w:val="0D0D0D" w:themeColor="text1" w:themeTint="F2"/>
                <w:sz w:val="24"/>
                <w:szCs w:val="24"/>
                <w:lang w:val="en-IN"/>
              </w:rPr>
              <w:t xml:space="preserve">Other </w:t>
            </w:r>
            <w:r w:rsidR="00837376" w:rsidRPr="00842FE5">
              <w:rPr>
                <w:rFonts w:ascii="Times New Roman" w:hAnsi="Times New Roman" w:cs="Times New Roman"/>
                <w:color w:val="0D0D0D" w:themeColor="text1" w:themeTint="F2"/>
                <w:sz w:val="24"/>
                <w:szCs w:val="24"/>
                <w:lang w:val="en-IN"/>
              </w:rPr>
              <w:t>BI</w:t>
            </w:r>
          </w:p>
        </w:tc>
        <w:tc>
          <w:tcPr>
            <w:tcW w:w="4759" w:type="dxa"/>
            <w:vAlign w:val="bottom"/>
          </w:tcPr>
          <w:p w14:paraId="211AE85B" w14:textId="77777777" w:rsidR="00275393" w:rsidRPr="00842FE5" w:rsidRDefault="00275393" w:rsidP="005E0FBD">
            <w:pPr>
              <w:spacing w:line="276" w:lineRule="auto"/>
              <w:rPr>
                <w:rFonts w:ascii="Times New Roman" w:hAnsi="Times New Roman" w:cs="Times New Roman"/>
                <w:color w:val="0D0D0D" w:themeColor="text1" w:themeTint="F2"/>
                <w:sz w:val="24"/>
                <w:szCs w:val="24"/>
                <w:lang w:val="en-IN"/>
              </w:rPr>
            </w:pPr>
          </w:p>
        </w:tc>
      </w:tr>
      <w:tr w:rsidR="00842FE5" w:rsidRPr="00842FE5" w14:paraId="41A661C3" w14:textId="77777777" w:rsidTr="005725F2">
        <w:trPr>
          <w:trHeight w:val="113"/>
        </w:trPr>
        <w:tc>
          <w:tcPr>
            <w:tcW w:w="4592" w:type="dxa"/>
            <w:vAlign w:val="bottom"/>
          </w:tcPr>
          <w:p w14:paraId="130B0B75" w14:textId="39856C94" w:rsidR="004F3879" w:rsidRPr="00842FE5" w:rsidRDefault="004F3879" w:rsidP="005E0FBD">
            <w:pPr>
              <w:spacing w:line="276" w:lineRule="auto"/>
              <w:rPr>
                <w:rFonts w:ascii="Times New Roman" w:hAnsi="Times New Roman" w:cs="Times New Roman"/>
                <w:color w:val="0D0D0D" w:themeColor="text1" w:themeTint="F2"/>
                <w:sz w:val="24"/>
                <w:szCs w:val="24"/>
                <w:lang w:val="en-IN"/>
              </w:rPr>
            </w:pPr>
            <w:r w:rsidRPr="00842FE5">
              <w:rPr>
                <w:rFonts w:ascii="Times New Roman" w:hAnsi="Times New Roman" w:cs="Times New Roman"/>
                <w:color w:val="0D0D0D" w:themeColor="text1" w:themeTint="F2"/>
                <w:sz w:val="24"/>
                <w:szCs w:val="24"/>
                <w:lang w:val="en-IN"/>
              </w:rPr>
              <w:t xml:space="preserve">    </w:t>
            </w:r>
            <w:r w:rsidR="00091A72" w:rsidRPr="00842FE5">
              <w:rPr>
                <w:rFonts w:ascii="Times New Roman" w:hAnsi="Times New Roman" w:cs="Times New Roman"/>
                <w:color w:val="0D0D0D" w:themeColor="text1" w:themeTint="F2"/>
                <w:sz w:val="24"/>
                <w:szCs w:val="24"/>
                <w:lang w:val="en-IN"/>
              </w:rPr>
              <w:t xml:space="preserve">Once daily </w:t>
            </w:r>
            <w:r w:rsidR="00837376" w:rsidRPr="00842FE5">
              <w:rPr>
                <w:rFonts w:ascii="Times New Roman" w:hAnsi="Times New Roman" w:cs="Times New Roman"/>
                <w:color w:val="0D0D0D" w:themeColor="text1" w:themeTint="F2"/>
                <w:sz w:val="24"/>
                <w:szCs w:val="24"/>
                <w:lang w:val="en-IN"/>
              </w:rPr>
              <w:t>dosing</w:t>
            </w:r>
          </w:p>
        </w:tc>
        <w:tc>
          <w:tcPr>
            <w:tcW w:w="4759" w:type="dxa"/>
            <w:vAlign w:val="bottom"/>
          </w:tcPr>
          <w:p w14:paraId="29C33A75" w14:textId="508A0180" w:rsidR="004F3879" w:rsidRPr="00842FE5" w:rsidRDefault="00091A72" w:rsidP="005E0FBD">
            <w:pPr>
              <w:spacing w:line="276" w:lineRule="auto"/>
              <w:rPr>
                <w:rFonts w:ascii="Times New Roman" w:hAnsi="Times New Roman" w:cs="Times New Roman"/>
                <w:color w:val="0D0D0D" w:themeColor="text1" w:themeTint="F2"/>
                <w:sz w:val="24"/>
                <w:szCs w:val="24"/>
                <w:lang w:val="en-IN"/>
              </w:rPr>
            </w:pPr>
            <w:r w:rsidRPr="00842FE5">
              <w:rPr>
                <w:rFonts w:ascii="Times New Roman" w:hAnsi="Times New Roman" w:cs="Times New Roman"/>
                <w:color w:val="0D0D0D" w:themeColor="text1" w:themeTint="F2"/>
                <w:sz w:val="24"/>
                <w:szCs w:val="24"/>
                <w:lang w:val="en-IN"/>
              </w:rPr>
              <w:t xml:space="preserve">Same as the total daily </w:t>
            </w:r>
            <w:r w:rsidR="00837376" w:rsidRPr="00842FE5">
              <w:rPr>
                <w:rFonts w:ascii="Times New Roman" w:hAnsi="Times New Roman" w:cs="Times New Roman"/>
                <w:color w:val="0D0D0D" w:themeColor="text1" w:themeTint="F2"/>
                <w:sz w:val="24"/>
                <w:szCs w:val="24"/>
                <w:lang w:val="en-IN"/>
              </w:rPr>
              <w:t xml:space="preserve">BI </w:t>
            </w:r>
            <w:r w:rsidRPr="00842FE5">
              <w:rPr>
                <w:rFonts w:ascii="Times New Roman" w:hAnsi="Times New Roman" w:cs="Times New Roman"/>
                <w:color w:val="0D0D0D" w:themeColor="text1" w:themeTint="F2"/>
                <w:sz w:val="24"/>
                <w:szCs w:val="24"/>
                <w:lang w:val="en-IN"/>
              </w:rPr>
              <w:t>dose</w:t>
            </w:r>
          </w:p>
        </w:tc>
      </w:tr>
      <w:tr w:rsidR="00842FE5" w:rsidRPr="00842FE5" w14:paraId="321DC037" w14:textId="77777777" w:rsidTr="005725F2">
        <w:trPr>
          <w:trHeight w:val="113"/>
        </w:trPr>
        <w:tc>
          <w:tcPr>
            <w:tcW w:w="4592" w:type="dxa"/>
            <w:vAlign w:val="bottom"/>
          </w:tcPr>
          <w:p w14:paraId="6D6086BC" w14:textId="11F67AD9" w:rsidR="00837376" w:rsidRPr="00842FE5" w:rsidRDefault="00837376" w:rsidP="005E0FBD">
            <w:pPr>
              <w:spacing w:line="276" w:lineRule="auto"/>
              <w:rPr>
                <w:rFonts w:ascii="Times New Roman" w:hAnsi="Times New Roman" w:cs="Times New Roman"/>
                <w:color w:val="0D0D0D" w:themeColor="text1" w:themeTint="F2"/>
                <w:sz w:val="24"/>
                <w:szCs w:val="24"/>
                <w:lang w:val="en-IN"/>
              </w:rPr>
            </w:pPr>
            <w:r w:rsidRPr="00842FE5">
              <w:rPr>
                <w:rFonts w:ascii="Times New Roman" w:hAnsi="Times New Roman" w:cs="Times New Roman"/>
                <w:color w:val="0D0D0D" w:themeColor="text1" w:themeTint="F2"/>
                <w:sz w:val="24"/>
                <w:szCs w:val="24"/>
                <w:lang w:val="en-IN"/>
              </w:rPr>
              <w:t xml:space="preserve">    Twice daily dosing</w:t>
            </w:r>
          </w:p>
        </w:tc>
        <w:tc>
          <w:tcPr>
            <w:tcW w:w="4759" w:type="dxa"/>
            <w:vAlign w:val="bottom"/>
          </w:tcPr>
          <w:p w14:paraId="2B1DD269" w14:textId="1C9F80B1" w:rsidR="00837376" w:rsidRPr="00842FE5" w:rsidRDefault="004960CE" w:rsidP="005E0FBD">
            <w:pPr>
              <w:spacing w:line="276" w:lineRule="auto"/>
              <w:rPr>
                <w:rFonts w:ascii="Times New Roman" w:hAnsi="Times New Roman" w:cs="Times New Roman"/>
                <w:color w:val="0D0D0D" w:themeColor="text1" w:themeTint="F2"/>
                <w:sz w:val="24"/>
                <w:szCs w:val="24"/>
                <w:lang w:val="en-IN"/>
              </w:rPr>
            </w:pPr>
            <w:r w:rsidRPr="00842FE5">
              <w:rPr>
                <w:rFonts w:ascii="Times New Roman" w:hAnsi="Times New Roman" w:cs="Times New Roman"/>
                <w:color w:val="0D0D0D" w:themeColor="text1" w:themeTint="F2"/>
                <w:sz w:val="24"/>
                <w:szCs w:val="24"/>
                <w:lang w:val="en-IN"/>
              </w:rPr>
              <w:t xml:space="preserve">80% of the total daily dose of </w:t>
            </w:r>
            <w:r w:rsidR="00C203FA" w:rsidRPr="00842FE5">
              <w:rPr>
                <w:rFonts w:ascii="Times New Roman" w:hAnsi="Times New Roman" w:cs="Times New Roman"/>
                <w:color w:val="0D0D0D" w:themeColor="text1" w:themeTint="F2"/>
                <w:sz w:val="24"/>
                <w:szCs w:val="24"/>
                <w:lang w:val="en-IN"/>
              </w:rPr>
              <w:t>the previous BI</w:t>
            </w:r>
          </w:p>
        </w:tc>
      </w:tr>
      <w:tr w:rsidR="00842FE5" w:rsidRPr="00842FE5" w14:paraId="31CCE704" w14:textId="77777777" w:rsidTr="005725F2">
        <w:trPr>
          <w:trHeight w:val="113"/>
        </w:trPr>
        <w:tc>
          <w:tcPr>
            <w:tcW w:w="9351" w:type="dxa"/>
            <w:gridSpan w:val="2"/>
            <w:vAlign w:val="bottom"/>
          </w:tcPr>
          <w:p w14:paraId="73DE4A14" w14:textId="0C658E19" w:rsidR="008027B8" w:rsidRPr="00842FE5" w:rsidRDefault="008027B8" w:rsidP="005E0FBD">
            <w:pPr>
              <w:spacing w:line="276" w:lineRule="auto"/>
              <w:rPr>
                <w:rFonts w:ascii="Times New Roman" w:hAnsi="Times New Roman" w:cs="Times New Roman"/>
                <w:b/>
                <w:bCs/>
                <w:color w:val="0D0D0D" w:themeColor="text1" w:themeTint="F2"/>
                <w:sz w:val="24"/>
                <w:szCs w:val="24"/>
                <w:lang w:val="en-IN"/>
              </w:rPr>
            </w:pPr>
            <w:r w:rsidRPr="00842FE5">
              <w:rPr>
                <w:rFonts w:ascii="Times New Roman" w:hAnsi="Times New Roman" w:cs="Times New Roman"/>
                <w:b/>
                <w:bCs/>
                <w:color w:val="0D0D0D" w:themeColor="text1" w:themeTint="F2"/>
                <w:sz w:val="24"/>
                <w:szCs w:val="24"/>
                <w:lang w:val="en-IN"/>
              </w:rPr>
              <w:t xml:space="preserve">Gla-300 </w:t>
            </w:r>
            <w:r w:rsidR="00351547" w:rsidRPr="00842FE5">
              <w:rPr>
                <w:rFonts w:ascii="Times New Roman" w:hAnsi="Times New Roman" w:cs="Times New Roman"/>
                <w:b/>
                <w:bCs/>
                <w:color w:val="0D0D0D" w:themeColor="text1" w:themeTint="F2"/>
                <w:sz w:val="24"/>
                <w:szCs w:val="24"/>
                <w:lang w:val="en-IN"/>
              </w:rPr>
              <w:t xml:space="preserve">dose </w:t>
            </w:r>
            <w:r w:rsidRPr="00842FE5">
              <w:rPr>
                <w:rFonts w:ascii="Times New Roman" w:hAnsi="Times New Roman" w:cs="Times New Roman"/>
                <w:b/>
                <w:bCs/>
                <w:color w:val="0D0D0D" w:themeColor="text1" w:themeTint="F2"/>
                <w:sz w:val="24"/>
                <w:szCs w:val="24"/>
                <w:lang w:val="en-IN"/>
              </w:rPr>
              <w:t>titration algorithm</w:t>
            </w:r>
          </w:p>
        </w:tc>
      </w:tr>
      <w:tr w:rsidR="00842FE5" w:rsidRPr="00842FE5" w14:paraId="059F98AD" w14:textId="77777777" w:rsidTr="005725F2">
        <w:trPr>
          <w:trHeight w:val="113"/>
        </w:trPr>
        <w:tc>
          <w:tcPr>
            <w:tcW w:w="4592" w:type="dxa"/>
            <w:vAlign w:val="bottom"/>
          </w:tcPr>
          <w:p w14:paraId="5EF303C7" w14:textId="6616F84E" w:rsidR="00351547" w:rsidRPr="00842FE5" w:rsidRDefault="00351547" w:rsidP="005E0FBD">
            <w:pPr>
              <w:spacing w:line="276" w:lineRule="auto"/>
              <w:rPr>
                <w:rFonts w:ascii="Times New Roman" w:hAnsi="Times New Roman" w:cs="Times New Roman"/>
                <w:b/>
                <w:bCs/>
                <w:color w:val="0D0D0D" w:themeColor="text1" w:themeTint="F2"/>
                <w:sz w:val="24"/>
                <w:szCs w:val="24"/>
                <w:lang w:val="en-IN"/>
              </w:rPr>
            </w:pPr>
            <w:r w:rsidRPr="00842FE5">
              <w:rPr>
                <w:rFonts w:ascii="Times New Roman" w:hAnsi="Times New Roman" w:cs="Times New Roman"/>
                <w:b/>
                <w:bCs/>
                <w:color w:val="0D0D0D" w:themeColor="text1" w:themeTint="F2"/>
                <w:sz w:val="24"/>
                <w:szCs w:val="24"/>
                <w:lang w:val="en-IN"/>
              </w:rPr>
              <w:t xml:space="preserve">Median fasting SMPG </w:t>
            </w:r>
            <w:r w:rsidR="007B34B1" w:rsidRPr="00842FE5">
              <w:rPr>
                <w:rFonts w:ascii="Times New Roman" w:hAnsi="Times New Roman" w:cs="Times New Roman"/>
                <w:b/>
                <w:bCs/>
                <w:color w:val="0D0D0D" w:themeColor="text1" w:themeTint="F2"/>
                <w:sz w:val="24"/>
                <w:szCs w:val="24"/>
                <w:lang w:val="en-IN"/>
              </w:rPr>
              <w:t>from last 3 consecutive values</w:t>
            </w:r>
          </w:p>
        </w:tc>
        <w:tc>
          <w:tcPr>
            <w:tcW w:w="4759" w:type="dxa"/>
            <w:vAlign w:val="bottom"/>
          </w:tcPr>
          <w:p w14:paraId="2BE4DA83" w14:textId="4E182A57" w:rsidR="00351547" w:rsidRPr="00842FE5" w:rsidRDefault="007B34B1" w:rsidP="005E0FBD">
            <w:pPr>
              <w:spacing w:line="276" w:lineRule="auto"/>
              <w:rPr>
                <w:rFonts w:ascii="Times New Roman" w:hAnsi="Times New Roman" w:cs="Times New Roman"/>
                <w:b/>
                <w:bCs/>
                <w:color w:val="0D0D0D" w:themeColor="text1" w:themeTint="F2"/>
                <w:sz w:val="24"/>
                <w:szCs w:val="24"/>
                <w:lang w:val="en-IN"/>
              </w:rPr>
            </w:pPr>
            <w:r w:rsidRPr="00842FE5">
              <w:rPr>
                <w:rFonts w:ascii="Times New Roman" w:hAnsi="Times New Roman" w:cs="Times New Roman"/>
                <w:b/>
                <w:bCs/>
                <w:color w:val="0D0D0D" w:themeColor="text1" w:themeTint="F2"/>
                <w:sz w:val="24"/>
                <w:szCs w:val="24"/>
                <w:lang w:val="en-IN"/>
              </w:rPr>
              <w:t>Dose adjustment (U/day)</w:t>
            </w:r>
          </w:p>
        </w:tc>
      </w:tr>
      <w:tr w:rsidR="00842FE5" w:rsidRPr="00842FE5" w14:paraId="50ED4CD6" w14:textId="77777777" w:rsidTr="005725F2">
        <w:trPr>
          <w:trHeight w:val="113"/>
        </w:trPr>
        <w:tc>
          <w:tcPr>
            <w:tcW w:w="4592" w:type="dxa"/>
            <w:vAlign w:val="bottom"/>
          </w:tcPr>
          <w:p w14:paraId="1624BCD2" w14:textId="77777777" w:rsidR="000C1D87" w:rsidRPr="00842FE5" w:rsidRDefault="000C1D87" w:rsidP="005E0FBD">
            <w:pPr>
              <w:spacing w:line="276" w:lineRule="auto"/>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lang w:val="en-IN"/>
              </w:rPr>
              <w:t>&gt;160 mg/dL</w:t>
            </w:r>
          </w:p>
        </w:tc>
        <w:tc>
          <w:tcPr>
            <w:tcW w:w="4759" w:type="dxa"/>
            <w:vAlign w:val="bottom"/>
          </w:tcPr>
          <w:p w14:paraId="1A6C89C0" w14:textId="77777777" w:rsidR="000C1D87" w:rsidRPr="00842FE5" w:rsidRDefault="000C1D87" w:rsidP="005E0FBD">
            <w:pPr>
              <w:spacing w:line="276" w:lineRule="auto"/>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lang w:val="en-IN"/>
              </w:rPr>
              <w:t>+4 U/day</w:t>
            </w:r>
          </w:p>
        </w:tc>
      </w:tr>
      <w:tr w:rsidR="00842FE5" w:rsidRPr="00842FE5" w14:paraId="485BDA46" w14:textId="77777777" w:rsidTr="005725F2">
        <w:trPr>
          <w:trHeight w:val="113"/>
        </w:trPr>
        <w:tc>
          <w:tcPr>
            <w:tcW w:w="4592" w:type="dxa"/>
            <w:vAlign w:val="bottom"/>
          </w:tcPr>
          <w:p w14:paraId="3AA98F86" w14:textId="77777777" w:rsidR="000C1D87" w:rsidRPr="00842FE5" w:rsidRDefault="000C1D87" w:rsidP="005E0FBD">
            <w:pPr>
              <w:autoSpaceDE w:val="0"/>
              <w:autoSpaceDN w:val="0"/>
              <w:adjustRightInd w:val="0"/>
              <w:spacing w:line="276" w:lineRule="auto"/>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lang w:val="en-IN"/>
              </w:rPr>
              <w:t>&gt;110 to ≤160 mg/dL</w:t>
            </w:r>
          </w:p>
        </w:tc>
        <w:tc>
          <w:tcPr>
            <w:tcW w:w="4759" w:type="dxa"/>
            <w:vAlign w:val="bottom"/>
          </w:tcPr>
          <w:p w14:paraId="15F3E318" w14:textId="77777777" w:rsidR="000C1D87" w:rsidRPr="00842FE5" w:rsidRDefault="000C1D87" w:rsidP="005E0FBD">
            <w:pPr>
              <w:autoSpaceDE w:val="0"/>
              <w:autoSpaceDN w:val="0"/>
              <w:adjustRightInd w:val="0"/>
              <w:spacing w:line="276" w:lineRule="auto"/>
              <w:rPr>
                <w:rFonts w:ascii="Times New Roman" w:hAnsi="Times New Roman" w:cs="Times New Roman"/>
                <w:color w:val="0D0D0D" w:themeColor="text1" w:themeTint="F2"/>
                <w:sz w:val="24"/>
                <w:szCs w:val="24"/>
                <w:lang w:val="en-IN"/>
              </w:rPr>
            </w:pPr>
            <w:r w:rsidRPr="00842FE5">
              <w:rPr>
                <w:rFonts w:ascii="Times New Roman" w:hAnsi="Times New Roman" w:cs="Times New Roman"/>
                <w:color w:val="0D0D0D" w:themeColor="text1" w:themeTint="F2"/>
                <w:sz w:val="24"/>
                <w:szCs w:val="24"/>
                <w:lang w:val="en-IN"/>
              </w:rPr>
              <w:t xml:space="preserve">+2 U/day </w:t>
            </w:r>
          </w:p>
        </w:tc>
      </w:tr>
      <w:tr w:rsidR="00842FE5" w:rsidRPr="00842FE5" w14:paraId="227D9A08" w14:textId="77777777" w:rsidTr="005725F2">
        <w:trPr>
          <w:trHeight w:val="113"/>
        </w:trPr>
        <w:tc>
          <w:tcPr>
            <w:tcW w:w="4592" w:type="dxa"/>
            <w:vAlign w:val="bottom"/>
          </w:tcPr>
          <w:p w14:paraId="06D17F02" w14:textId="6BA8A1C0" w:rsidR="000C1D87" w:rsidRPr="00842FE5" w:rsidRDefault="000C1D87" w:rsidP="005E0FBD">
            <w:pPr>
              <w:autoSpaceDE w:val="0"/>
              <w:autoSpaceDN w:val="0"/>
              <w:adjustRightInd w:val="0"/>
              <w:spacing w:line="276" w:lineRule="auto"/>
              <w:rPr>
                <w:rFonts w:ascii="Times New Roman" w:hAnsi="Times New Roman" w:cs="Times New Roman"/>
                <w:color w:val="0D0D0D" w:themeColor="text1" w:themeTint="F2"/>
                <w:sz w:val="24"/>
                <w:szCs w:val="24"/>
                <w:lang w:val="en-IN"/>
              </w:rPr>
            </w:pPr>
            <w:r w:rsidRPr="00842FE5">
              <w:rPr>
                <w:rFonts w:ascii="Times New Roman" w:hAnsi="Times New Roman" w:cs="Times New Roman"/>
                <w:color w:val="0D0D0D" w:themeColor="text1" w:themeTint="F2"/>
                <w:sz w:val="24"/>
                <w:szCs w:val="24"/>
                <w:lang w:val="en-IN"/>
              </w:rPr>
              <w:t>&gt;80 mg/dL to ≤110 mg/dL (glyc</w:t>
            </w:r>
            <w:r w:rsidR="00C203FA" w:rsidRPr="00842FE5">
              <w:rPr>
                <w:rFonts w:ascii="Times New Roman" w:hAnsi="Times New Roman" w:cs="Times New Roman"/>
                <w:color w:val="0D0D0D" w:themeColor="text1" w:themeTint="F2"/>
                <w:sz w:val="24"/>
                <w:szCs w:val="24"/>
                <w:lang w:val="en-IN"/>
              </w:rPr>
              <w:t>a</w:t>
            </w:r>
            <w:r w:rsidRPr="00842FE5">
              <w:rPr>
                <w:rFonts w:ascii="Times New Roman" w:hAnsi="Times New Roman" w:cs="Times New Roman"/>
                <w:color w:val="0D0D0D" w:themeColor="text1" w:themeTint="F2"/>
                <w:sz w:val="24"/>
                <w:szCs w:val="24"/>
                <w:lang w:val="en-IN"/>
              </w:rPr>
              <w:t>emic target)</w:t>
            </w:r>
          </w:p>
        </w:tc>
        <w:tc>
          <w:tcPr>
            <w:tcW w:w="4759" w:type="dxa"/>
            <w:vAlign w:val="bottom"/>
          </w:tcPr>
          <w:p w14:paraId="2E021F75" w14:textId="77777777" w:rsidR="000C1D87" w:rsidRPr="00842FE5" w:rsidRDefault="000C1D87" w:rsidP="005E0FBD">
            <w:pPr>
              <w:spacing w:line="276" w:lineRule="auto"/>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lang w:val="en-IN"/>
              </w:rPr>
              <w:t>No change</w:t>
            </w:r>
          </w:p>
        </w:tc>
      </w:tr>
      <w:tr w:rsidR="00842FE5" w:rsidRPr="00842FE5" w14:paraId="2152E7B4" w14:textId="77777777" w:rsidTr="005725F2">
        <w:trPr>
          <w:trHeight w:val="113"/>
        </w:trPr>
        <w:tc>
          <w:tcPr>
            <w:tcW w:w="4592" w:type="dxa"/>
            <w:vAlign w:val="bottom"/>
          </w:tcPr>
          <w:p w14:paraId="478AE62B" w14:textId="5C3CA71C" w:rsidR="000C1D87" w:rsidRPr="00842FE5" w:rsidRDefault="000C1D87" w:rsidP="005E0FBD">
            <w:pPr>
              <w:autoSpaceDE w:val="0"/>
              <w:autoSpaceDN w:val="0"/>
              <w:adjustRightInd w:val="0"/>
              <w:spacing w:line="276" w:lineRule="auto"/>
              <w:rPr>
                <w:rFonts w:ascii="Times New Roman" w:hAnsi="Times New Roman" w:cs="Times New Roman"/>
                <w:color w:val="0D0D0D" w:themeColor="text1" w:themeTint="F2"/>
                <w:sz w:val="24"/>
                <w:szCs w:val="24"/>
                <w:lang w:val="en-IN"/>
              </w:rPr>
            </w:pPr>
            <w:r w:rsidRPr="00842FE5">
              <w:rPr>
                <w:rFonts w:ascii="Times New Roman" w:hAnsi="Times New Roman" w:cs="Times New Roman"/>
                <w:color w:val="0D0D0D" w:themeColor="text1" w:themeTint="F2"/>
                <w:sz w:val="24"/>
                <w:szCs w:val="24"/>
                <w:lang w:val="en-IN"/>
              </w:rPr>
              <w:t>≤80 mg/dL or occurrence of ≥2 symptomatic or 1 severe hypoglyc</w:t>
            </w:r>
            <w:r w:rsidR="00C203FA" w:rsidRPr="00842FE5">
              <w:rPr>
                <w:rFonts w:ascii="Times New Roman" w:hAnsi="Times New Roman" w:cs="Times New Roman"/>
                <w:color w:val="0D0D0D" w:themeColor="text1" w:themeTint="F2"/>
                <w:sz w:val="24"/>
                <w:szCs w:val="24"/>
                <w:lang w:val="en-IN"/>
              </w:rPr>
              <w:t>a</w:t>
            </w:r>
            <w:r w:rsidRPr="00842FE5">
              <w:rPr>
                <w:rFonts w:ascii="Times New Roman" w:hAnsi="Times New Roman" w:cs="Times New Roman"/>
                <w:color w:val="0D0D0D" w:themeColor="text1" w:themeTint="F2"/>
                <w:sz w:val="24"/>
                <w:szCs w:val="24"/>
                <w:lang w:val="en-IN"/>
              </w:rPr>
              <w:t>emia episode in the preceding week</w:t>
            </w:r>
          </w:p>
        </w:tc>
        <w:tc>
          <w:tcPr>
            <w:tcW w:w="4759" w:type="dxa"/>
            <w:vAlign w:val="bottom"/>
          </w:tcPr>
          <w:p w14:paraId="36ACE17A" w14:textId="77777777" w:rsidR="000C1D87" w:rsidRPr="00842FE5" w:rsidRDefault="000C1D87" w:rsidP="005E0FBD">
            <w:pPr>
              <w:spacing w:line="276" w:lineRule="auto"/>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lang w:val="en-IN"/>
              </w:rPr>
              <w:t>-2 or at the discretion of the investigator</w:t>
            </w:r>
          </w:p>
        </w:tc>
      </w:tr>
    </w:tbl>
    <w:p w14:paraId="77AF284B" w14:textId="7149E7B8" w:rsidR="00754200" w:rsidRPr="00842FE5" w:rsidRDefault="00FB37E2" w:rsidP="00856670">
      <w:pPr>
        <w:tabs>
          <w:tab w:val="left" w:pos="3441"/>
        </w:tabs>
        <w:spacing w:line="240" w:lineRule="auto"/>
        <w:rPr>
          <w:rFonts w:ascii="Times New Roman" w:hAnsi="Times New Roman" w:cs="Times New Roman"/>
          <w:color w:val="0D0D0D" w:themeColor="text1" w:themeTint="F2"/>
          <w:sz w:val="24"/>
          <w:szCs w:val="24"/>
        </w:rPr>
      </w:pPr>
      <w:r w:rsidRPr="00B82A27">
        <w:rPr>
          <w:rFonts w:ascii="Times New Roman" w:hAnsi="Times New Roman" w:cs="Times New Roman"/>
          <w:i/>
          <w:iCs/>
          <w:color w:val="0D0D0D" w:themeColor="text1" w:themeTint="F2"/>
          <w:sz w:val="24"/>
          <w:szCs w:val="24"/>
        </w:rPr>
        <w:t>BI</w:t>
      </w:r>
      <w:r w:rsidRPr="00842FE5">
        <w:rPr>
          <w:rFonts w:ascii="Times New Roman" w:hAnsi="Times New Roman" w:cs="Times New Roman"/>
          <w:color w:val="0D0D0D" w:themeColor="text1" w:themeTint="F2"/>
          <w:sz w:val="24"/>
          <w:szCs w:val="24"/>
        </w:rPr>
        <w:t xml:space="preserve"> basal insulin; </w:t>
      </w:r>
      <w:r w:rsidR="003F3FB9" w:rsidRPr="00B82A27">
        <w:rPr>
          <w:rFonts w:ascii="Times New Roman" w:hAnsi="Times New Roman" w:cs="Times New Roman"/>
          <w:i/>
          <w:iCs/>
          <w:color w:val="0D0D0D" w:themeColor="text1" w:themeTint="F2"/>
          <w:sz w:val="24"/>
          <w:szCs w:val="24"/>
        </w:rPr>
        <w:t>Gla-100</w:t>
      </w:r>
      <w:r w:rsidR="003F3FB9" w:rsidRPr="00842FE5">
        <w:rPr>
          <w:rFonts w:ascii="Times New Roman" w:hAnsi="Times New Roman" w:cs="Times New Roman"/>
          <w:color w:val="0D0D0D" w:themeColor="text1" w:themeTint="F2"/>
          <w:sz w:val="24"/>
          <w:szCs w:val="24"/>
        </w:rPr>
        <w:t xml:space="preserve"> insulin glargine 100 U/mL; </w:t>
      </w:r>
      <w:r w:rsidR="0067304F" w:rsidRPr="00B82A27">
        <w:rPr>
          <w:rFonts w:ascii="Times New Roman" w:hAnsi="Times New Roman" w:cs="Times New Roman"/>
          <w:i/>
          <w:iCs/>
          <w:color w:val="0D0D0D" w:themeColor="text1" w:themeTint="F2"/>
          <w:sz w:val="24"/>
          <w:szCs w:val="24"/>
        </w:rPr>
        <w:t>Gla-300</w:t>
      </w:r>
      <w:r w:rsidR="0067304F" w:rsidRPr="00842FE5">
        <w:rPr>
          <w:rFonts w:ascii="Times New Roman" w:hAnsi="Times New Roman" w:cs="Times New Roman"/>
          <w:color w:val="0D0D0D" w:themeColor="text1" w:themeTint="F2"/>
          <w:sz w:val="24"/>
          <w:szCs w:val="24"/>
        </w:rPr>
        <w:t xml:space="preserve"> insulin glargine 300 U/mL</w:t>
      </w:r>
      <w:r w:rsidR="005C57C4" w:rsidRPr="00842FE5">
        <w:rPr>
          <w:rFonts w:ascii="Times New Roman" w:hAnsi="Times New Roman" w:cs="Times New Roman"/>
          <w:color w:val="0D0D0D" w:themeColor="text1" w:themeTint="F2"/>
          <w:sz w:val="24"/>
          <w:szCs w:val="24"/>
        </w:rPr>
        <w:t xml:space="preserve">; </w:t>
      </w:r>
      <w:r w:rsidR="005C57C4" w:rsidRPr="00B82A27">
        <w:rPr>
          <w:rFonts w:ascii="Times New Roman" w:hAnsi="Times New Roman" w:cs="Times New Roman"/>
          <w:i/>
          <w:iCs/>
          <w:color w:val="0D0D0D" w:themeColor="text1" w:themeTint="F2"/>
          <w:sz w:val="24"/>
          <w:szCs w:val="24"/>
        </w:rPr>
        <w:t>SMPG</w:t>
      </w:r>
      <w:r w:rsidR="005C57C4" w:rsidRPr="00842FE5">
        <w:rPr>
          <w:rFonts w:ascii="Times New Roman" w:hAnsi="Times New Roman" w:cs="Times New Roman"/>
          <w:color w:val="0D0D0D" w:themeColor="text1" w:themeTint="F2"/>
          <w:sz w:val="24"/>
          <w:szCs w:val="24"/>
        </w:rPr>
        <w:t xml:space="preserve"> self-monitored plasma glucose</w:t>
      </w:r>
      <w:r w:rsidR="00754200" w:rsidRPr="00842FE5">
        <w:rPr>
          <w:rFonts w:ascii="Times New Roman" w:hAnsi="Times New Roman" w:cs="Times New Roman"/>
          <w:b/>
          <w:bCs/>
          <w:color w:val="0D0D0D" w:themeColor="text1" w:themeTint="F2"/>
          <w:sz w:val="24"/>
          <w:szCs w:val="24"/>
        </w:rPr>
        <w:br w:type="page"/>
      </w:r>
    </w:p>
    <w:p w14:paraId="544967D1" w14:textId="5292494A" w:rsidR="005A2F17" w:rsidRPr="00842FE5" w:rsidRDefault="00660EC5" w:rsidP="003858C4">
      <w:pPr>
        <w:tabs>
          <w:tab w:val="left" w:pos="3441"/>
        </w:tabs>
        <w:spacing w:line="480" w:lineRule="auto"/>
        <w:ind w:left="360"/>
        <w:rPr>
          <w:rFonts w:ascii="Times New Roman" w:hAnsi="Times New Roman" w:cs="Times New Roman"/>
          <w:b/>
          <w:bCs/>
          <w:color w:val="0D0D0D" w:themeColor="text1" w:themeTint="F2"/>
          <w:sz w:val="24"/>
          <w:szCs w:val="24"/>
        </w:rPr>
      </w:pPr>
      <w:r w:rsidRPr="00842FE5">
        <w:rPr>
          <w:rFonts w:ascii="Times New Roman" w:hAnsi="Times New Roman" w:cs="Times New Roman"/>
          <w:b/>
          <w:bCs/>
          <w:color w:val="0D0D0D" w:themeColor="text1" w:themeTint="F2"/>
          <w:sz w:val="24"/>
          <w:szCs w:val="24"/>
        </w:rPr>
        <w:lastRenderedPageBreak/>
        <w:t xml:space="preserve">Table </w:t>
      </w:r>
      <w:r w:rsidR="000C1D87" w:rsidRPr="00842FE5">
        <w:rPr>
          <w:rFonts w:ascii="Times New Roman" w:hAnsi="Times New Roman" w:cs="Times New Roman"/>
          <w:b/>
          <w:bCs/>
          <w:color w:val="0D0D0D" w:themeColor="text1" w:themeTint="F2"/>
          <w:sz w:val="24"/>
          <w:szCs w:val="24"/>
        </w:rPr>
        <w:t>2</w:t>
      </w:r>
      <w:r w:rsidRPr="00842FE5">
        <w:rPr>
          <w:rFonts w:ascii="Times New Roman" w:hAnsi="Times New Roman" w:cs="Times New Roman"/>
          <w:b/>
          <w:bCs/>
          <w:color w:val="0D0D0D" w:themeColor="text1" w:themeTint="F2"/>
          <w:sz w:val="24"/>
          <w:szCs w:val="24"/>
        </w:rPr>
        <w:t xml:space="preserve">: </w:t>
      </w:r>
      <w:r w:rsidRPr="00842FE5">
        <w:rPr>
          <w:rFonts w:ascii="Times New Roman" w:hAnsi="Times New Roman" w:cs="Times New Roman"/>
          <w:color w:val="0D0D0D" w:themeColor="text1" w:themeTint="F2"/>
          <w:sz w:val="24"/>
          <w:szCs w:val="24"/>
        </w:rPr>
        <w:t>Baseline and patient disease characteristics</w:t>
      </w:r>
    </w:p>
    <w:tbl>
      <w:tblPr>
        <w:tblStyle w:val="TableGrid"/>
        <w:tblW w:w="0" w:type="auto"/>
        <w:tblInd w:w="360" w:type="dxa"/>
        <w:tblLook w:val="04A0" w:firstRow="1" w:lastRow="0" w:firstColumn="1" w:lastColumn="0" w:noHBand="0" w:noVBand="1"/>
      </w:tblPr>
      <w:tblGrid>
        <w:gridCol w:w="6439"/>
        <w:gridCol w:w="2127"/>
      </w:tblGrid>
      <w:tr w:rsidR="00842FE5" w:rsidRPr="00842FE5" w14:paraId="27C6B6C0" w14:textId="77777777" w:rsidTr="00A82F2A">
        <w:tc>
          <w:tcPr>
            <w:tcW w:w="6439" w:type="dxa"/>
          </w:tcPr>
          <w:p w14:paraId="487AFA1A" w14:textId="7526B1CC" w:rsidR="008835D8" w:rsidRPr="00842FE5" w:rsidRDefault="00951835" w:rsidP="00AD153B">
            <w:pPr>
              <w:tabs>
                <w:tab w:val="left" w:pos="3441"/>
              </w:tabs>
              <w:rPr>
                <w:rFonts w:ascii="Times New Roman" w:hAnsi="Times New Roman" w:cs="Times New Roman"/>
                <w:b/>
                <w:bCs/>
                <w:color w:val="0D0D0D" w:themeColor="text1" w:themeTint="F2"/>
                <w:sz w:val="24"/>
                <w:szCs w:val="24"/>
              </w:rPr>
            </w:pPr>
            <w:r w:rsidRPr="00842FE5">
              <w:rPr>
                <w:rFonts w:ascii="Times New Roman" w:hAnsi="Times New Roman" w:cs="Times New Roman"/>
                <w:b/>
                <w:bCs/>
                <w:color w:val="0D0D0D" w:themeColor="text1" w:themeTint="F2"/>
                <w:sz w:val="24"/>
                <w:szCs w:val="24"/>
              </w:rPr>
              <w:t>Characteristics</w:t>
            </w:r>
          </w:p>
        </w:tc>
        <w:tc>
          <w:tcPr>
            <w:tcW w:w="2127" w:type="dxa"/>
          </w:tcPr>
          <w:p w14:paraId="30D99F72" w14:textId="00E807F6" w:rsidR="008835D8" w:rsidRPr="00842FE5" w:rsidRDefault="008835D8" w:rsidP="00AD153B">
            <w:pPr>
              <w:tabs>
                <w:tab w:val="left" w:pos="3441"/>
              </w:tabs>
              <w:rPr>
                <w:rFonts w:ascii="Times New Roman" w:hAnsi="Times New Roman" w:cs="Times New Roman"/>
                <w:b/>
                <w:bCs/>
                <w:color w:val="0D0D0D" w:themeColor="text1" w:themeTint="F2"/>
                <w:sz w:val="24"/>
                <w:szCs w:val="24"/>
              </w:rPr>
            </w:pPr>
            <w:r w:rsidRPr="00842FE5">
              <w:rPr>
                <w:rFonts w:ascii="Times New Roman" w:hAnsi="Times New Roman" w:cs="Times New Roman"/>
                <w:b/>
                <w:bCs/>
                <w:color w:val="0D0D0D" w:themeColor="text1" w:themeTint="F2"/>
                <w:sz w:val="24"/>
                <w:szCs w:val="24"/>
              </w:rPr>
              <w:t>Gla-300 (N=</w:t>
            </w:r>
            <w:r w:rsidR="00951835" w:rsidRPr="00842FE5">
              <w:rPr>
                <w:rFonts w:ascii="Times New Roman" w:hAnsi="Times New Roman" w:cs="Times New Roman"/>
                <w:b/>
                <w:bCs/>
                <w:color w:val="0D0D0D" w:themeColor="text1" w:themeTint="F2"/>
                <w:sz w:val="24"/>
                <w:szCs w:val="24"/>
              </w:rPr>
              <w:t>372</w:t>
            </w:r>
            <w:r w:rsidRPr="00842FE5">
              <w:rPr>
                <w:rFonts w:ascii="Times New Roman" w:hAnsi="Times New Roman" w:cs="Times New Roman"/>
                <w:b/>
                <w:bCs/>
                <w:color w:val="0D0D0D" w:themeColor="text1" w:themeTint="F2"/>
                <w:sz w:val="24"/>
                <w:szCs w:val="24"/>
              </w:rPr>
              <w:t>)</w:t>
            </w:r>
          </w:p>
        </w:tc>
      </w:tr>
      <w:tr w:rsidR="00842FE5" w:rsidRPr="00842FE5" w14:paraId="15C74B0A" w14:textId="77777777" w:rsidTr="00A82F2A">
        <w:trPr>
          <w:trHeight w:val="335"/>
        </w:trPr>
        <w:tc>
          <w:tcPr>
            <w:tcW w:w="6439" w:type="dxa"/>
            <w:vAlign w:val="center"/>
          </w:tcPr>
          <w:p w14:paraId="0D5DB187" w14:textId="762E8FE9" w:rsidR="00951835" w:rsidRPr="00842FE5" w:rsidRDefault="00951835" w:rsidP="00643AC4">
            <w:pPr>
              <w:tabs>
                <w:tab w:val="left" w:pos="3441"/>
              </w:tabs>
              <w:rPr>
                <w:rFonts w:ascii="Times New Roman" w:hAnsi="Times New Roman" w:cs="Times New Roman"/>
                <w:b/>
                <w:bCs/>
                <w:color w:val="0D0D0D" w:themeColor="text1" w:themeTint="F2"/>
                <w:sz w:val="24"/>
                <w:szCs w:val="24"/>
              </w:rPr>
            </w:pPr>
            <w:r w:rsidRPr="00842FE5">
              <w:rPr>
                <w:rFonts w:ascii="Times New Roman" w:hAnsi="Times New Roman" w:cs="Times New Roman"/>
                <w:color w:val="0D0D0D" w:themeColor="text1" w:themeTint="F2"/>
                <w:sz w:val="24"/>
                <w:szCs w:val="24"/>
              </w:rPr>
              <w:t>Age, mean (SD), years</w:t>
            </w:r>
          </w:p>
        </w:tc>
        <w:tc>
          <w:tcPr>
            <w:tcW w:w="2127" w:type="dxa"/>
            <w:vAlign w:val="center"/>
          </w:tcPr>
          <w:p w14:paraId="5E705059" w14:textId="7353DE12" w:rsidR="00951835" w:rsidRPr="00842FE5" w:rsidRDefault="00951835" w:rsidP="00643AC4">
            <w:pPr>
              <w:tabs>
                <w:tab w:val="left" w:pos="3441"/>
              </w:tabs>
              <w:jc w:val="center"/>
              <w:rPr>
                <w:rFonts w:ascii="Times New Roman" w:hAnsi="Times New Roman" w:cs="Times New Roman"/>
                <w:b/>
                <w:bCs/>
                <w:color w:val="0D0D0D" w:themeColor="text1" w:themeTint="F2"/>
                <w:sz w:val="24"/>
                <w:szCs w:val="24"/>
              </w:rPr>
            </w:pPr>
            <w:r w:rsidRPr="00842FE5">
              <w:rPr>
                <w:rFonts w:ascii="Times New Roman" w:hAnsi="Times New Roman" w:cs="Times New Roman"/>
                <w:color w:val="0D0D0D" w:themeColor="text1" w:themeTint="F2"/>
                <w:sz w:val="24"/>
                <w:szCs w:val="24"/>
              </w:rPr>
              <w:t>60.9 (10.0)</w:t>
            </w:r>
          </w:p>
        </w:tc>
      </w:tr>
      <w:tr w:rsidR="00842FE5" w:rsidRPr="00842FE5" w14:paraId="3FB149DC" w14:textId="77777777" w:rsidTr="00A82F2A">
        <w:tc>
          <w:tcPr>
            <w:tcW w:w="6439" w:type="dxa"/>
            <w:vAlign w:val="center"/>
          </w:tcPr>
          <w:p w14:paraId="199676E8" w14:textId="737B3F43" w:rsidR="00951835" w:rsidRPr="00842FE5" w:rsidRDefault="00951835" w:rsidP="00643AC4">
            <w:pPr>
              <w:tabs>
                <w:tab w:val="left" w:pos="3441"/>
              </w:tabs>
              <w:ind w:firstLine="379"/>
              <w:rPr>
                <w:rFonts w:ascii="Times New Roman" w:hAnsi="Times New Roman" w:cs="Times New Roman"/>
                <w:b/>
                <w:bCs/>
                <w:color w:val="0D0D0D" w:themeColor="text1" w:themeTint="F2"/>
                <w:sz w:val="24"/>
                <w:szCs w:val="24"/>
              </w:rPr>
            </w:pPr>
            <w:r w:rsidRPr="00842FE5">
              <w:rPr>
                <w:rFonts w:ascii="Times New Roman" w:hAnsi="Times New Roman" w:cs="Times New Roman"/>
                <w:color w:val="0D0D0D" w:themeColor="text1" w:themeTint="F2"/>
                <w:sz w:val="24"/>
                <w:szCs w:val="24"/>
              </w:rPr>
              <w:t>&lt;65 years, n (%)</w:t>
            </w:r>
          </w:p>
        </w:tc>
        <w:tc>
          <w:tcPr>
            <w:tcW w:w="2127" w:type="dxa"/>
            <w:vAlign w:val="center"/>
          </w:tcPr>
          <w:p w14:paraId="3C5C6591" w14:textId="5A36EEBD" w:rsidR="00951835" w:rsidRPr="00842FE5" w:rsidRDefault="00951835" w:rsidP="00643AC4">
            <w:pPr>
              <w:tabs>
                <w:tab w:val="left" w:pos="3441"/>
              </w:tabs>
              <w:jc w:val="center"/>
              <w:rPr>
                <w:rFonts w:ascii="Times New Roman" w:hAnsi="Times New Roman" w:cs="Times New Roman"/>
                <w:b/>
                <w:bCs/>
                <w:color w:val="0D0D0D" w:themeColor="text1" w:themeTint="F2"/>
                <w:sz w:val="24"/>
                <w:szCs w:val="24"/>
              </w:rPr>
            </w:pPr>
            <w:r w:rsidRPr="00842FE5">
              <w:rPr>
                <w:rFonts w:ascii="Times New Roman" w:hAnsi="Times New Roman" w:cs="Times New Roman"/>
                <w:color w:val="0D0D0D" w:themeColor="text1" w:themeTint="F2"/>
                <w:sz w:val="24"/>
                <w:szCs w:val="24"/>
              </w:rPr>
              <w:t>233 (62.6)</w:t>
            </w:r>
          </w:p>
        </w:tc>
      </w:tr>
      <w:tr w:rsidR="00842FE5" w:rsidRPr="00842FE5" w14:paraId="4E08E2F0" w14:textId="77777777" w:rsidTr="00A82F2A">
        <w:tc>
          <w:tcPr>
            <w:tcW w:w="6439" w:type="dxa"/>
            <w:vAlign w:val="center"/>
          </w:tcPr>
          <w:p w14:paraId="0F6B6321" w14:textId="0B05864E" w:rsidR="00951835" w:rsidRPr="00842FE5" w:rsidRDefault="00AB09E1" w:rsidP="00643AC4">
            <w:pPr>
              <w:tabs>
                <w:tab w:val="left" w:pos="3441"/>
              </w:tabs>
              <w:ind w:firstLine="379"/>
              <w:rPr>
                <w:rFonts w:ascii="Times New Roman" w:hAnsi="Times New Roman" w:cs="Times New Roman"/>
                <w:b/>
                <w:bCs/>
                <w:color w:val="0D0D0D" w:themeColor="text1" w:themeTint="F2"/>
                <w:sz w:val="24"/>
                <w:szCs w:val="24"/>
              </w:rPr>
            </w:pPr>
            <w:r w:rsidRPr="00842FE5">
              <w:rPr>
                <w:rFonts w:ascii="Times New Roman" w:hAnsi="Times New Roman" w:cs="Times New Roman"/>
                <w:color w:val="0D0D0D" w:themeColor="text1" w:themeTint="F2"/>
                <w:sz w:val="24"/>
                <w:szCs w:val="24"/>
              </w:rPr>
              <w:t>≥</w:t>
            </w:r>
            <w:r w:rsidR="00951835" w:rsidRPr="00842FE5">
              <w:rPr>
                <w:rFonts w:ascii="Times New Roman" w:hAnsi="Times New Roman" w:cs="Times New Roman"/>
                <w:color w:val="0D0D0D" w:themeColor="text1" w:themeTint="F2"/>
                <w:sz w:val="24"/>
                <w:szCs w:val="24"/>
              </w:rPr>
              <w:t>65</w:t>
            </w:r>
            <w:r w:rsidR="00124B35" w:rsidRPr="00842FE5">
              <w:rPr>
                <w:rFonts w:ascii="Times New Roman" w:hAnsi="Times New Roman" w:cs="Times New Roman"/>
                <w:color w:val="0D0D0D" w:themeColor="text1" w:themeTint="F2"/>
                <w:sz w:val="24"/>
                <w:szCs w:val="24"/>
              </w:rPr>
              <w:t xml:space="preserve"> </w:t>
            </w:r>
            <w:r w:rsidR="00951835" w:rsidRPr="00842FE5">
              <w:rPr>
                <w:rFonts w:ascii="Times New Roman" w:hAnsi="Times New Roman" w:cs="Times New Roman"/>
                <w:color w:val="0D0D0D" w:themeColor="text1" w:themeTint="F2"/>
                <w:sz w:val="24"/>
                <w:szCs w:val="24"/>
              </w:rPr>
              <w:t>–</w:t>
            </w:r>
            <w:r w:rsidR="00124B35" w:rsidRPr="00842FE5">
              <w:rPr>
                <w:rFonts w:ascii="Times New Roman" w:hAnsi="Times New Roman" w:cs="Times New Roman"/>
                <w:color w:val="0D0D0D" w:themeColor="text1" w:themeTint="F2"/>
                <w:sz w:val="24"/>
                <w:szCs w:val="24"/>
              </w:rPr>
              <w:t xml:space="preserve"> ˂</w:t>
            </w:r>
            <w:r w:rsidR="00951835" w:rsidRPr="00842FE5">
              <w:rPr>
                <w:rFonts w:ascii="Times New Roman" w:hAnsi="Times New Roman" w:cs="Times New Roman"/>
                <w:color w:val="0D0D0D" w:themeColor="text1" w:themeTint="F2"/>
                <w:sz w:val="24"/>
                <w:szCs w:val="24"/>
              </w:rPr>
              <w:t>75 years, n (%)</w:t>
            </w:r>
          </w:p>
        </w:tc>
        <w:tc>
          <w:tcPr>
            <w:tcW w:w="2127" w:type="dxa"/>
            <w:vAlign w:val="center"/>
          </w:tcPr>
          <w:p w14:paraId="25C6932D" w14:textId="0E732C23" w:rsidR="00951835" w:rsidRPr="00842FE5" w:rsidRDefault="00951835" w:rsidP="00643AC4">
            <w:pPr>
              <w:tabs>
                <w:tab w:val="left" w:pos="3441"/>
              </w:tabs>
              <w:jc w:val="center"/>
              <w:rPr>
                <w:rFonts w:ascii="Times New Roman" w:hAnsi="Times New Roman" w:cs="Times New Roman"/>
                <w:b/>
                <w:bCs/>
                <w:color w:val="0D0D0D" w:themeColor="text1" w:themeTint="F2"/>
                <w:sz w:val="24"/>
                <w:szCs w:val="24"/>
              </w:rPr>
            </w:pPr>
            <w:r w:rsidRPr="00842FE5">
              <w:rPr>
                <w:rFonts w:ascii="Times New Roman" w:hAnsi="Times New Roman" w:cs="Times New Roman"/>
                <w:color w:val="0D0D0D" w:themeColor="text1" w:themeTint="F2"/>
                <w:sz w:val="24"/>
                <w:szCs w:val="24"/>
              </w:rPr>
              <w:t>108 (29.0)</w:t>
            </w:r>
          </w:p>
        </w:tc>
      </w:tr>
      <w:tr w:rsidR="00842FE5" w:rsidRPr="00842FE5" w14:paraId="1CE59B19" w14:textId="77777777" w:rsidTr="00A82F2A">
        <w:tc>
          <w:tcPr>
            <w:tcW w:w="6439" w:type="dxa"/>
            <w:vAlign w:val="center"/>
          </w:tcPr>
          <w:p w14:paraId="45F6F6DD" w14:textId="7370E472" w:rsidR="00951835" w:rsidRPr="00842FE5" w:rsidRDefault="00951835" w:rsidP="00643AC4">
            <w:pPr>
              <w:tabs>
                <w:tab w:val="left" w:pos="3441"/>
              </w:tabs>
              <w:ind w:firstLine="379"/>
              <w:rPr>
                <w:rFonts w:ascii="Times New Roman" w:hAnsi="Times New Roman" w:cs="Times New Roman"/>
                <w:b/>
                <w:bCs/>
                <w:color w:val="0D0D0D" w:themeColor="text1" w:themeTint="F2"/>
                <w:sz w:val="24"/>
                <w:szCs w:val="24"/>
              </w:rPr>
            </w:pPr>
            <w:r w:rsidRPr="00842FE5">
              <w:rPr>
                <w:rFonts w:ascii="Times New Roman" w:hAnsi="Times New Roman" w:cs="Times New Roman"/>
                <w:color w:val="0D0D0D" w:themeColor="text1" w:themeTint="F2"/>
                <w:sz w:val="24"/>
                <w:szCs w:val="24"/>
              </w:rPr>
              <w:t>≥75 years, n (%)</w:t>
            </w:r>
          </w:p>
        </w:tc>
        <w:tc>
          <w:tcPr>
            <w:tcW w:w="2127" w:type="dxa"/>
            <w:vAlign w:val="center"/>
          </w:tcPr>
          <w:p w14:paraId="2E6968C8" w14:textId="4CF8F049" w:rsidR="00951835" w:rsidRPr="00842FE5" w:rsidRDefault="00951835" w:rsidP="00643AC4">
            <w:pPr>
              <w:tabs>
                <w:tab w:val="left" w:pos="3441"/>
              </w:tabs>
              <w:jc w:val="center"/>
              <w:rPr>
                <w:rFonts w:ascii="Times New Roman" w:hAnsi="Times New Roman" w:cs="Times New Roman"/>
                <w:b/>
                <w:bCs/>
                <w:color w:val="0D0D0D" w:themeColor="text1" w:themeTint="F2"/>
                <w:sz w:val="24"/>
                <w:szCs w:val="24"/>
              </w:rPr>
            </w:pPr>
            <w:r w:rsidRPr="00842FE5">
              <w:rPr>
                <w:rFonts w:ascii="Times New Roman" w:hAnsi="Times New Roman" w:cs="Times New Roman"/>
                <w:color w:val="0D0D0D" w:themeColor="text1" w:themeTint="F2"/>
                <w:sz w:val="24"/>
                <w:szCs w:val="24"/>
              </w:rPr>
              <w:t>31 (8.3)</w:t>
            </w:r>
          </w:p>
        </w:tc>
      </w:tr>
      <w:tr w:rsidR="00842FE5" w:rsidRPr="00842FE5" w14:paraId="5F453209" w14:textId="77777777" w:rsidTr="00A82F2A">
        <w:tc>
          <w:tcPr>
            <w:tcW w:w="6439" w:type="dxa"/>
            <w:vAlign w:val="center"/>
          </w:tcPr>
          <w:p w14:paraId="51D380B8" w14:textId="36B573AC" w:rsidR="006B4D1A" w:rsidRPr="00842FE5" w:rsidRDefault="006B4D1A" w:rsidP="00643AC4">
            <w:pPr>
              <w:tabs>
                <w:tab w:val="left" w:pos="3441"/>
              </w:tabs>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Male</w:t>
            </w:r>
          </w:p>
        </w:tc>
        <w:tc>
          <w:tcPr>
            <w:tcW w:w="2127" w:type="dxa"/>
            <w:vAlign w:val="center"/>
          </w:tcPr>
          <w:p w14:paraId="39FDF8F9" w14:textId="3D5DC012" w:rsidR="006B4D1A" w:rsidRPr="00842FE5" w:rsidRDefault="00690FD7" w:rsidP="00643AC4">
            <w:pPr>
              <w:tabs>
                <w:tab w:val="left" w:pos="3441"/>
              </w:tabs>
              <w:jc w:val="center"/>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186 (50.0)</w:t>
            </w:r>
          </w:p>
        </w:tc>
      </w:tr>
      <w:tr w:rsidR="00842FE5" w:rsidRPr="00842FE5" w14:paraId="0DCD06BF" w14:textId="77777777" w:rsidTr="00A82F2A">
        <w:tc>
          <w:tcPr>
            <w:tcW w:w="6439" w:type="dxa"/>
            <w:vAlign w:val="center"/>
          </w:tcPr>
          <w:p w14:paraId="6556268E" w14:textId="467F3F65" w:rsidR="005443B8" w:rsidRPr="00842FE5" w:rsidRDefault="005443B8" w:rsidP="00643AC4">
            <w:pPr>
              <w:tabs>
                <w:tab w:val="left" w:pos="3441"/>
              </w:tabs>
              <w:rPr>
                <w:rFonts w:ascii="Times New Roman" w:hAnsi="Times New Roman" w:cs="Times New Roman"/>
                <w:b/>
                <w:bCs/>
                <w:color w:val="0D0D0D" w:themeColor="text1" w:themeTint="F2"/>
                <w:sz w:val="24"/>
                <w:szCs w:val="24"/>
              </w:rPr>
            </w:pPr>
            <w:r w:rsidRPr="00842FE5">
              <w:rPr>
                <w:rFonts w:ascii="Times New Roman" w:hAnsi="Times New Roman" w:cs="Times New Roman"/>
                <w:color w:val="0D0D0D" w:themeColor="text1" w:themeTint="F2"/>
                <w:sz w:val="24"/>
                <w:szCs w:val="24"/>
              </w:rPr>
              <w:t>BMI, mean (SD) kg/m</w:t>
            </w:r>
            <w:r w:rsidRPr="00842FE5">
              <w:rPr>
                <w:rFonts w:ascii="Times New Roman" w:hAnsi="Times New Roman" w:cs="Times New Roman"/>
                <w:color w:val="0D0D0D" w:themeColor="text1" w:themeTint="F2"/>
                <w:sz w:val="24"/>
                <w:szCs w:val="24"/>
                <w:vertAlign w:val="superscript"/>
              </w:rPr>
              <w:t>2</w:t>
            </w:r>
          </w:p>
        </w:tc>
        <w:tc>
          <w:tcPr>
            <w:tcW w:w="2127" w:type="dxa"/>
            <w:vAlign w:val="center"/>
          </w:tcPr>
          <w:p w14:paraId="3511FABD" w14:textId="1AAFD1BF" w:rsidR="005443B8" w:rsidRPr="00842FE5" w:rsidRDefault="005443B8" w:rsidP="00643AC4">
            <w:pPr>
              <w:tabs>
                <w:tab w:val="left" w:pos="3441"/>
              </w:tabs>
              <w:jc w:val="center"/>
              <w:rPr>
                <w:rFonts w:ascii="Times New Roman" w:hAnsi="Times New Roman" w:cs="Times New Roman"/>
                <w:b/>
                <w:bCs/>
                <w:color w:val="0D0D0D" w:themeColor="text1" w:themeTint="F2"/>
                <w:sz w:val="24"/>
                <w:szCs w:val="24"/>
              </w:rPr>
            </w:pPr>
            <w:r w:rsidRPr="00842FE5">
              <w:rPr>
                <w:rFonts w:ascii="Times New Roman" w:hAnsi="Times New Roman" w:cs="Times New Roman"/>
                <w:color w:val="0D0D0D" w:themeColor="text1" w:themeTint="F2"/>
                <w:sz w:val="24"/>
                <w:szCs w:val="24"/>
              </w:rPr>
              <w:t>29.57 (5.43)</w:t>
            </w:r>
          </w:p>
        </w:tc>
      </w:tr>
      <w:tr w:rsidR="00842FE5" w:rsidRPr="00842FE5" w14:paraId="45FA514A" w14:textId="77777777" w:rsidTr="00A82F2A">
        <w:tc>
          <w:tcPr>
            <w:tcW w:w="6439" w:type="dxa"/>
            <w:vAlign w:val="center"/>
          </w:tcPr>
          <w:p w14:paraId="704CAA67" w14:textId="660E4DDF" w:rsidR="005443B8" w:rsidRPr="00842FE5" w:rsidRDefault="005443B8" w:rsidP="00643AC4">
            <w:pPr>
              <w:tabs>
                <w:tab w:val="left" w:pos="3441"/>
              </w:tabs>
              <w:rPr>
                <w:rFonts w:ascii="Times New Roman" w:hAnsi="Times New Roman" w:cs="Times New Roman"/>
                <w:b/>
                <w:bCs/>
                <w:color w:val="0D0D0D" w:themeColor="text1" w:themeTint="F2"/>
                <w:sz w:val="24"/>
                <w:szCs w:val="24"/>
              </w:rPr>
            </w:pPr>
            <w:r w:rsidRPr="00842FE5">
              <w:rPr>
                <w:rFonts w:ascii="Times New Roman" w:hAnsi="Times New Roman" w:cs="Times New Roman"/>
                <w:color w:val="0D0D0D" w:themeColor="text1" w:themeTint="F2"/>
                <w:sz w:val="24"/>
                <w:szCs w:val="24"/>
              </w:rPr>
              <w:t>Duration of diabetes, mean (SD) years</w:t>
            </w:r>
          </w:p>
        </w:tc>
        <w:tc>
          <w:tcPr>
            <w:tcW w:w="2127" w:type="dxa"/>
            <w:vAlign w:val="center"/>
          </w:tcPr>
          <w:p w14:paraId="48321FCA" w14:textId="4DCE5AC6" w:rsidR="005443B8" w:rsidRPr="00842FE5" w:rsidRDefault="005443B8" w:rsidP="00643AC4">
            <w:pPr>
              <w:tabs>
                <w:tab w:val="left" w:pos="3441"/>
              </w:tabs>
              <w:jc w:val="center"/>
              <w:rPr>
                <w:rFonts w:ascii="Times New Roman" w:hAnsi="Times New Roman" w:cs="Times New Roman"/>
                <w:b/>
                <w:bCs/>
                <w:color w:val="0D0D0D" w:themeColor="text1" w:themeTint="F2"/>
                <w:sz w:val="24"/>
                <w:szCs w:val="24"/>
              </w:rPr>
            </w:pPr>
            <w:r w:rsidRPr="00842FE5">
              <w:rPr>
                <w:rFonts w:ascii="Times New Roman" w:hAnsi="Times New Roman" w:cs="Times New Roman"/>
                <w:color w:val="0D0D0D" w:themeColor="text1" w:themeTint="F2"/>
                <w:sz w:val="24"/>
                <w:szCs w:val="24"/>
              </w:rPr>
              <w:t>13.11 (7.48)</w:t>
            </w:r>
          </w:p>
        </w:tc>
      </w:tr>
      <w:tr w:rsidR="00842FE5" w:rsidRPr="00842FE5" w14:paraId="57C1AEEB" w14:textId="77777777" w:rsidTr="00A82F2A">
        <w:tc>
          <w:tcPr>
            <w:tcW w:w="6439" w:type="dxa"/>
            <w:vAlign w:val="center"/>
          </w:tcPr>
          <w:p w14:paraId="0869E0E4" w14:textId="007D33F4" w:rsidR="005443B8" w:rsidRPr="00842FE5" w:rsidRDefault="005443B8" w:rsidP="00643AC4">
            <w:pPr>
              <w:tabs>
                <w:tab w:val="left" w:pos="3441"/>
              </w:tabs>
              <w:ind w:firstLine="379"/>
              <w:rPr>
                <w:rFonts w:ascii="Times New Roman" w:hAnsi="Times New Roman" w:cs="Times New Roman"/>
                <w:b/>
                <w:bCs/>
                <w:color w:val="0D0D0D" w:themeColor="text1" w:themeTint="F2"/>
                <w:sz w:val="24"/>
                <w:szCs w:val="24"/>
              </w:rPr>
            </w:pPr>
            <w:r w:rsidRPr="00842FE5">
              <w:rPr>
                <w:rFonts w:ascii="Times New Roman" w:hAnsi="Times New Roman" w:cs="Times New Roman"/>
                <w:color w:val="0D0D0D" w:themeColor="text1" w:themeTint="F2"/>
                <w:sz w:val="24"/>
                <w:szCs w:val="24"/>
              </w:rPr>
              <w:t>Median (range)</w:t>
            </w:r>
          </w:p>
        </w:tc>
        <w:tc>
          <w:tcPr>
            <w:tcW w:w="2127" w:type="dxa"/>
            <w:vAlign w:val="center"/>
          </w:tcPr>
          <w:p w14:paraId="60E54CD7" w14:textId="6A62094B" w:rsidR="005443B8" w:rsidRPr="00842FE5" w:rsidRDefault="005443B8" w:rsidP="00643AC4">
            <w:pPr>
              <w:tabs>
                <w:tab w:val="left" w:pos="3441"/>
              </w:tabs>
              <w:jc w:val="center"/>
              <w:rPr>
                <w:rFonts w:ascii="Times New Roman" w:hAnsi="Times New Roman" w:cs="Times New Roman"/>
                <w:b/>
                <w:bCs/>
                <w:color w:val="0D0D0D" w:themeColor="text1" w:themeTint="F2"/>
                <w:sz w:val="24"/>
                <w:szCs w:val="24"/>
              </w:rPr>
            </w:pPr>
            <w:r w:rsidRPr="00842FE5">
              <w:rPr>
                <w:rFonts w:ascii="Times New Roman" w:hAnsi="Times New Roman" w:cs="Times New Roman"/>
                <w:color w:val="0D0D0D" w:themeColor="text1" w:themeTint="F2"/>
                <w:sz w:val="24"/>
                <w:szCs w:val="24"/>
              </w:rPr>
              <w:t>12.00 (0.6</w:t>
            </w:r>
            <w:r w:rsidR="003E1D6E" w:rsidRPr="00842FE5">
              <w:rPr>
                <w:rFonts w:ascii="Times New Roman" w:hAnsi="Times New Roman" w:cs="Times New Roman"/>
                <w:color w:val="0D0D0D" w:themeColor="text1" w:themeTint="F2"/>
                <w:sz w:val="24"/>
                <w:szCs w:val="24"/>
              </w:rPr>
              <w:t>–</w:t>
            </w:r>
            <w:r w:rsidRPr="00842FE5">
              <w:rPr>
                <w:rFonts w:ascii="Times New Roman" w:hAnsi="Times New Roman" w:cs="Times New Roman"/>
                <w:color w:val="0D0D0D" w:themeColor="text1" w:themeTint="F2"/>
                <w:sz w:val="24"/>
                <w:szCs w:val="24"/>
              </w:rPr>
              <w:t>49.0)</w:t>
            </w:r>
          </w:p>
        </w:tc>
      </w:tr>
      <w:tr w:rsidR="00842FE5" w:rsidRPr="00842FE5" w14:paraId="31151BD4" w14:textId="77777777" w:rsidTr="00A82F2A">
        <w:tc>
          <w:tcPr>
            <w:tcW w:w="6439" w:type="dxa"/>
            <w:vAlign w:val="center"/>
          </w:tcPr>
          <w:p w14:paraId="3E30C3F7" w14:textId="2745AF21" w:rsidR="005443B8" w:rsidRPr="00842FE5" w:rsidRDefault="005443B8" w:rsidP="00643AC4">
            <w:pPr>
              <w:tabs>
                <w:tab w:val="left" w:pos="3441"/>
              </w:tabs>
              <w:ind w:firstLine="379"/>
              <w:rPr>
                <w:rFonts w:ascii="Times New Roman" w:hAnsi="Times New Roman" w:cs="Times New Roman"/>
                <w:b/>
                <w:bCs/>
                <w:color w:val="0D0D0D" w:themeColor="text1" w:themeTint="F2"/>
                <w:sz w:val="24"/>
                <w:szCs w:val="24"/>
              </w:rPr>
            </w:pPr>
            <w:r w:rsidRPr="00842FE5">
              <w:rPr>
                <w:rFonts w:ascii="Times New Roman" w:hAnsi="Times New Roman" w:cs="Times New Roman"/>
                <w:color w:val="0D0D0D" w:themeColor="text1" w:themeTint="F2"/>
                <w:sz w:val="24"/>
                <w:szCs w:val="24"/>
              </w:rPr>
              <w:t>&lt; 10 years, n (%)</w:t>
            </w:r>
          </w:p>
        </w:tc>
        <w:tc>
          <w:tcPr>
            <w:tcW w:w="2127" w:type="dxa"/>
            <w:vAlign w:val="center"/>
          </w:tcPr>
          <w:p w14:paraId="6FDA9F10" w14:textId="375C4B92" w:rsidR="005443B8" w:rsidRPr="00842FE5" w:rsidRDefault="005443B8" w:rsidP="00643AC4">
            <w:pPr>
              <w:tabs>
                <w:tab w:val="left" w:pos="3441"/>
              </w:tabs>
              <w:jc w:val="center"/>
              <w:rPr>
                <w:rFonts w:ascii="Times New Roman" w:hAnsi="Times New Roman" w:cs="Times New Roman"/>
                <w:b/>
                <w:bCs/>
                <w:color w:val="0D0D0D" w:themeColor="text1" w:themeTint="F2"/>
                <w:sz w:val="24"/>
                <w:szCs w:val="24"/>
              </w:rPr>
            </w:pPr>
            <w:r w:rsidRPr="00842FE5">
              <w:rPr>
                <w:rFonts w:ascii="Times New Roman" w:hAnsi="Times New Roman" w:cs="Times New Roman"/>
                <w:color w:val="0D0D0D" w:themeColor="text1" w:themeTint="F2"/>
                <w:sz w:val="24"/>
                <w:szCs w:val="24"/>
              </w:rPr>
              <w:t>126 (33.9)</w:t>
            </w:r>
          </w:p>
        </w:tc>
      </w:tr>
      <w:tr w:rsidR="00842FE5" w:rsidRPr="00842FE5" w14:paraId="7D1CB58A" w14:textId="77777777" w:rsidTr="00A82F2A">
        <w:tc>
          <w:tcPr>
            <w:tcW w:w="6439" w:type="dxa"/>
            <w:vAlign w:val="center"/>
          </w:tcPr>
          <w:p w14:paraId="7BBD6EE1" w14:textId="6ACBFDEC" w:rsidR="005443B8" w:rsidRPr="00842FE5" w:rsidRDefault="005443B8" w:rsidP="00643AC4">
            <w:pPr>
              <w:tabs>
                <w:tab w:val="left" w:pos="3441"/>
              </w:tabs>
              <w:ind w:firstLine="379"/>
              <w:rPr>
                <w:rFonts w:ascii="Times New Roman" w:hAnsi="Times New Roman" w:cs="Times New Roman"/>
                <w:b/>
                <w:bCs/>
                <w:color w:val="0D0D0D" w:themeColor="text1" w:themeTint="F2"/>
                <w:sz w:val="24"/>
                <w:szCs w:val="24"/>
              </w:rPr>
            </w:pPr>
            <w:r w:rsidRPr="00842FE5">
              <w:rPr>
                <w:rFonts w:ascii="Times New Roman" w:hAnsi="Times New Roman" w:cs="Times New Roman"/>
                <w:color w:val="0D0D0D" w:themeColor="text1" w:themeTint="F2"/>
                <w:sz w:val="24"/>
                <w:szCs w:val="24"/>
              </w:rPr>
              <w:t>≥ 10 years, n (%)</w:t>
            </w:r>
          </w:p>
        </w:tc>
        <w:tc>
          <w:tcPr>
            <w:tcW w:w="2127" w:type="dxa"/>
            <w:vAlign w:val="center"/>
          </w:tcPr>
          <w:p w14:paraId="2D53A639" w14:textId="2ED9376E" w:rsidR="005443B8" w:rsidRPr="00842FE5" w:rsidRDefault="005443B8" w:rsidP="00643AC4">
            <w:pPr>
              <w:tabs>
                <w:tab w:val="left" w:pos="3441"/>
              </w:tabs>
              <w:jc w:val="center"/>
              <w:rPr>
                <w:rFonts w:ascii="Times New Roman" w:hAnsi="Times New Roman" w:cs="Times New Roman"/>
                <w:b/>
                <w:bCs/>
                <w:color w:val="0D0D0D" w:themeColor="text1" w:themeTint="F2"/>
                <w:sz w:val="24"/>
                <w:szCs w:val="24"/>
              </w:rPr>
            </w:pPr>
            <w:r w:rsidRPr="00842FE5">
              <w:rPr>
                <w:rFonts w:ascii="Times New Roman" w:hAnsi="Times New Roman" w:cs="Times New Roman"/>
                <w:color w:val="0D0D0D" w:themeColor="text1" w:themeTint="F2"/>
                <w:sz w:val="24"/>
                <w:szCs w:val="24"/>
              </w:rPr>
              <w:t>246 (66.1)</w:t>
            </w:r>
          </w:p>
        </w:tc>
      </w:tr>
      <w:tr w:rsidR="00842FE5" w:rsidRPr="00842FE5" w14:paraId="01CCE519" w14:textId="77777777" w:rsidTr="00A82F2A">
        <w:tc>
          <w:tcPr>
            <w:tcW w:w="6439" w:type="dxa"/>
            <w:vAlign w:val="center"/>
          </w:tcPr>
          <w:p w14:paraId="7090602F" w14:textId="6745508B" w:rsidR="005443B8" w:rsidRPr="00842FE5" w:rsidRDefault="009821FC" w:rsidP="00643AC4">
            <w:pPr>
              <w:tabs>
                <w:tab w:val="left" w:pos="3441"/>
              </w:tabs>
              <w:rPr>
                <w:rFonts w:ascii="Times New Roman" w:hAnsi="Times New Roman" w:cs="Times New Roman"/>
                <w:b/>
                <w:bCs/>
                <w:color w:val="0D0D0D" w:themeColor="text1" w:themeTint="F2"/>
                <w:sz w:val="24"/>
                <w:szCs w:val="24"/>
              </w:rPr>
            </w:pPr>
            <w:r w:rsidRPr="00842FE5">
              <w:rPr>
                <w:rFonts w:ascii="Times New Roman" w:hAnsi="Times New Roman" w:cs="Times New Roman"/>
                <w:color w:val="0D0D0D" w:themeColor="text1" w:themeTint="F2"/>
                <w:sz w:val="24"/>
                <w:szCs w:val="24"/>
              </w:rPr>
              <w:t>Diabetic complications</w:t>
            </w:r>
            <w:r w:rsidRPr="00842FE5">
              <w:rPr>
                <w:rFonts w:ascii="Times New Roman" w:hAnsi="Times New Roman" w:cs="Times New Roman"/>
                <w:b/>
                <w:bCs/>
                <w:color w:val="0D0D0D" w:themeColor="text1" w:themeTint="F2"/>
                <w:sz w:val="24"/>
                <w:szCs w:val="24"/>
                <w:vertAlign w:val="superscript"/>
              </w:rPr>
              <w:t>a</w:t>
            </w:r>
          </w:p>
        </w:tc>
        <w:tc>
          <w:tcPr>
            <w:tcW w:w="2127" w:type="dxa"/>
            <w:vAlign w:val="center"/>
          </w:tcPr>
          <w:p w14:paraId="6DC6E1AF" w14:textId="092DD4CA" w:rsidR="005443B8" w:rsidRPr="00842FE5" w:rsidRDefault="005443B8" w:rsidP="00643AC4">
            <w:pPr>
              <w:tabs>
                <w:tab w:val="left" w:pos="3441"/>
              </w:tabs>
              <w:rPr>
                <w:rFonts w:ascii="Times New Roman" w:hAnsi="Times New Roman" w:cs="Times New Roman"/>
                <w:b/>
                <w:bCs/>
                <w:color w:val="0D0D0D" w:themeColor="text1" w:themeTint="F2"/>
                <w:sz w:val="24"/>
                <w:szCs w:val="24"/>
              </w:rPr>
            </w:pPr>
          </w:p>
        </w:tc>
      </w:tr>
      <w:tr w:rsidR="00842FE5" w:rsidRPr="00842FE5" w14:paraId="5664B51E" w14:textId="77777777" w:rsidTr="00A82F2A">
        <w:tc>
          <w:tcPr>
            <w:tcW w:w="6439" w:type="dxa"/>
            <w:vAlign w:val="center"/>
          </w:tcPr>
          <w:p w14:paraId="1DEB1688" w14:textId="60470BA3" w:rsidR="003D6291" w:rsidRPr="00842FE5" w:rsidRDefault="003D6291" w:rsidP="00643AC4">
            <w:pPr>
              <w:tabs>
                <w:tab w:val="left" w:pos="3441"/>
              </w:tabs>
              <w:ind w:firstLine="379"/>
              <w:rPr>
                <w:rFonts w:ascii="Times New Roman" w:hAnsi="Times New Roman" w:cs="Times New Roman"/>
                <w:b/>
                <w:bCs/>
                <w:color w:val="0D0D0D" w:themeColor="text1" w:themeTint="F2"/>
                <w:sz w:val="24"/>
                <w:szCs w:val="24"/>
              </w:rPr>
            </w:pPr>
            <w:r w:rsidRPr="00842FE5">
              <w:rPr>
                <w:rFonts w:ascii="Times New Roman" w:hAnsi="Times New Roman" w:cs="Times New Roman"/>
                <w:color w:val="0D0D0D" w:themeColor="text1" w:themeTint="F2"/>
                <w:sz w:val="24"/>
                <w:szCs w:val="24"/>
              </w:rPr>
              <w:t>Neuropathy</w:t>
            </w:r>
          </w:p>
        </w:tc>
        <w:tc>
          <w:tcPr>
            <w:tcW w:w="2127" w:type="dxa"/>
            <w:vAlign w:val="center"/>
          </w:tcPr>
          <w:p w14:paraId="5ECC1594" w14:textId="209663CD" w:rsidR="003D6291" w:rsidRPr="00842FE5" w:rsidRDefault="003D6291" w:rsidP="00643AC4">
            <w:pPr>
              <w:tabs>
                <w:tab w:val="left" w:pos="3441"/>
              </w:tabs>
              <w:jc w:val="center"/>
              <w:rPr>
                <w:rFonts w:ascii="Times New Roman" w:hAnsi="Times New Roman" w:cs="Times New Roman"/>
                <w:b/>
                <w:bCs/>
                <w:color w:val="0D0D0D" w:themeColor="text1" w:themeTint="F2"/>
                <w:sz w:val="24"/>
                <w:szCs w:val="24"/>
              </w:rPr>
            </w:pPr>
            <w:r w:rsidRPr="00842FE5">
              <w:rPr>
                <w:rFonts w:ascii="Times New Roman" w:hAnsi="Times New Roman" w:cs="Times New Roman"/>
                <w:color w:val="0D0D0D" w:themeColor="text1" w:themeTint="F2"/>
                <w:sz w:val="24"/>
                <w:szCs w:val="24"/>
              </w:rPr>
              <w:t>68 (18.3)</w:t>
            </w:r>
          </w:p>
        </w:tc>
      </w:tr>
      <w:tr w:rsidR="00842FE5" w:rsidRPr="00842FE5" w14:paraId="736D85E0" w14:textId="77777777" w:rsidTr="00A82F2A">
        <w:tc>
          <w:tcPr>
            <w:tcW w:w="6439" w:type="dxa"/>
            <w:vAlign w:val="center"/>
          </w:tcPr>
          <w:p w14:paraId="0C66F07E" w14:textId="447F856A" w:rsidR="003D6291" w:rsidRPr="00842FE5" w:rsidRDefault="003D6291" w:rsidP="00643AC4">
            <w:pPr>
              <w:tabs>
                <w:tab w:val="left" w:pos="3441"/>
              </w:tabs>
              <w:ind w:firstLine="379"/>
              <w:rPr>
                <w:rFonts w:ascii="Times New Roman" w:hAnsi="Times New Roman" w:cs="Times New Roman"/>
                <w:b/>
                <w:bCs/>
                <w:color w:val="0D0D0D" w:themeColor="text1" w:themeTint="F2"/>
                <w:sz w:val="24"/>
                <w:szCs w:val="24"/>
              </w:rPr>
            </w:pPr>
            <w:r w:rsidRPr="00842FE5">
              <w:rPr>
                <w:rFonts w:ascii="Times New Roman" w:hAnsi="Times New Roman" w:cs="Times New Roman"/>
                <w:color w:val="0D0D0D" w:themeColor="text1" w:themeTint="F2"/>
                <w:sz w:val="24"/>
                <w:szCs w:val="24"/>
              </w:rPr>
              <w:t>Nephropathy</w:t>
            </w:r>
          </w:p>
        </w:tc>
        <w:tc>
          <w:tcPr>
            <w:tcW w:w="2127" w:type="dxa"/>
            <w:vAlign w:val="center"/>
          </w:tcPr>
          <w:p w14:paraId="6424D0DC" w14:textId="6B2E1A75" w:rsidR="003D6291" w:rsidRPr="00842FE5" w:rsidRDefault="003D6291" w:rsidP="00643AC4">
            <w:pPr>
              <w:tabs>
                <w:tab w:val="left" w:pos="3441"/>
              </w:tabs>
              <w:jc w:val="center"/>
              <w:rPr>
                <w:rFonts w:ascii="Times New Roman" w:hAnsi="Times New Roman" w:cs="Times New Roman"/>
                <w:b/>
                <w:bCs/>
                <w:color w:val="0D0D0D" w:themeColor="text1" w:themeTint="F2"/>
                <w:sz w:val="24"/>
                <w:szCs w:val="24"/>
              </w:rPr>
            </w:pPr>
            <w:r w:rsidRPr="00842FE5">
              <w:rPr>
                <w:rFonts w:ascii="Times New Roman" w:hAnsi="Times New Roman" w:cs="Times New Roman"/>
                <w:color w:val="0D0D0D" w:themeColor="text1" w:themeTint="F2"/>
                <w:sz w:val="24"/>
                <w:szCs w:val="24"/>
              </w:rPr>
              <w:t>41 (11.0)</w:t>
            </w:r>
          </w:p>
        </w:tc>
      </w:tr>
      <w:tr w:rsidR="00842FE5" w:rsidRPr="00842FE5" w14:paraId="537EA383" w14:textId="77777777" w:rsidTr="00A82F2A">
        <w:tc>
          <w:tcPr>
            <w:tcW w:w="6439" w:type="dxa"/>
            <w:vAlign w:val="center"/>
          </w:tcPr>
          <w:p w14:paraId="79187E24" w14:textId="62B9EA5F" w:rsidR="003D6291" w:rsidRPr="00842FE5" w:rsidRDefault="003D6291" w:rsidP="00643AC4">
            <w:pPr>
              <w:tabs>
                <w:tab w:val="left" w:pos="3441"/>
              </w:tabs>
              <w:ind w:left="521" w:hanging="142"/>
              <w:rPr>
                <w:rFonts w:ascii="Times New Roman" w:hAnsi="Times New Roman" w:cs="Times New Roman"/>
                <w:b/>
                <w:bCs/>
                <w:color w:val="0D0D0D" w:themeColor="text1" w:themeTint="F2"/>
                <w:sz w:val="24"/>
                <w:szCs w:val="24"/>
              </w:rPr>
            </w:pPr>
            <w:r w:rsidRPr="00842FE5">
              <w:rPr>
                <w:rFonts w:ascii="Times New Roman" w:hAnsi="Times New Roman" w:cs="Times New Roman"/>
                <w:color w:val="0D0D0D" w:themeColor="text1" w:themeTint="F2"/>
                <w:sz w:val="24"/>
                <w:szCs w:val="24"/>
              </w:rPr>
              <w:t>Retinopathy</w:t>
            </w:r>
            <w:r w:rsidRPr="00842FE5">
              <w:rPr>
                <w:rFonts w:ascii="Times New Roman" w:hAnsi="Times New Roman" w:cs="Times New Roman"/>
                <w:color w:val="0D0D0D" w:themeColor="text1" w:themeTint="F2"/>
                <w:sz w:val="24"/>
                <w:szCs w:val="24"/>
                <w:vertAlign w:val="superscript"/>
              </w:rPr>
              <w:t>b</w:t>
            </w:r>
          </w:p>
        </w:tc>
        <w:tc>
          <w:tcPr>
            <w:tcW w:w="2127" w:type="dxa"/>
            <w:vAlign w:val="center"/>
          </w:tcPr>
          <w:p w14:paraId="3BAC13C1" w14:textId="11611FB2" w:rsidR="003D6291" w:rsidRPr="00842FE5" w:rsidRDefault="003D6291" w:rsidP="00643AC4">
            <w:pPr>
              <w:tabs>
                <w:tab w:val="left" w:pos="3441"/>
              </w:tabs>
              <w:jc w:val="center"/>
              <w:rPr>
                <w:rFonts w:ascii="Times New Roman" w:hAnsi="Times New Roman" w:cs="Times New Roman"/>
                <w:b/>
                <w:bCs/>
                <w:color w:val="0D0D0D" w:themeColor="text1" w:themeTint="F2"/>
                <w:sz w:val="24"/>
                <w:szCs w:val="24"/>
              </w:rPr>
            </w:pPr>
            <w:r w:rsidRPr="00842FE5">
              <w:rPr>
                <w:rFonts w:ascii="Times New Roman" w:hAnsi="Times New Roman" w:cs="Times New Roman"/>
                <w:color w:val="0D0D0D" w:themeColor="text1" w:themeTint="F2"/>
                <w:sz w:val="24"/>
                <w:szCs w:val="24"/>
              </w:rPr>
              <w:t>32 (8.6)</w:t>
            </w:r>
          </w:p>
        </w:tc>
      </w:tr>
      <w:tr w:rsidR="00842FE5" w:rsidRPr="00842FE5" w14:paraId="28C9BC7C" w14:textId="77777777" w:rsidTr="00A82F2A">
        <w:tc>
          <w:tcPr>
            <w:tcW w:w="6439" w:type="dxa"/>
            <w:vAlign w:val="center"/>
          </w:tcPr>
          <w:p w14:paraId="372E4631" w14:textId="0A6E84B3" w:rsidR="00D77FD1" w:rsidRPr="00842FE5" w:rsidRDefault="00D77FD1" w:rsidP="00643AC4">
            <w:pPr>
              <w:tabs>
                <w:tab w:val="left" w:pos="3441"/>
              </w:tabs>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Mean duration of previous BI treatment, years</w:t>
            </w:r>
            <w:r w:rsidRPr="00842FE5">
              <w:rPr>
                <w:rFonts w:ascii="Times New Roman" w:hAnsi="Times New Roman" w:cs="Times New Roman"/>
                <w:color w:val="0D0D0D" w:themeColor="text1" w:themeTint="F2"/>
                <w:sz w:val="24"/>
                <w:szCs w:val="24"/>
                <w:vertAlign w:val="superscript"/>
              </w:rPr>
              <w:t>c</w:t>
            </w:r>
          </w:p>
        </w:tc>
        <w:tc>
          <w:tcPr>
            <w:tcW w:w="2127" w:type="dxa"/>
            <w:vAlign w:val="center"/>
          </w:tcPr>
          <w:p w14:paraId="0547A676" w14:textId="4CE57449" w:rsidR="00D77FD1" w:rsidRPr="00842FE5" w:rsidRDefault="00D77FD1" w:rsidP="00643AC4">
            <w:pPr>
              <w:tabs>
                <w:tab w:val="left" w:pos="3441"/>
              </w:tabs>
              <w:jc w:val="center"/>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2.86 (3.66)</w:t>
            </w:r>
          </w:p>
        </w:tc>
      </w:tr>
      <w:tr w:rsidR="00842FE5" w:rsidRPr="00842FE5" w14:paraId="421B2D51" w14:textId="77777777" w:rsidTr="00A82F2A">
        <w:tc>
          <w:tcPr>
            <w:tcW w:w="6439" w:type="dxa"/>
            <w:vAlign w:val="center"/>
          </w:tcPr>
          <w:p w14:paraId="42B52E2B" w14:textId="19AAE346" w:rsidR="00D77FD1" w:rsidRPr="00842FE5" w:rsidRDefault="00D77FD1" w:rsidP="00643AC4">
            <w:pPr>
              <w:tabs>
                <w:tab w:val="left" w:pos="3441"/>
              </w:tabs>
              <w:ind w:left="521" w:hanging="521"/>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Previous BI treatment</w:t>
            </w:r>
            <w:r w:rsidRPr="00842FE5">
              <w:rPr>
                <w:rFonts w:ascii="Times New Roman" w:hAnsi="Times New Roman" w:cs="Times New Roman"/>
                <w:color w:val="0D0D0D" w:themeColor="text1" w:themeTint="F2"/>
                <w:sz w:val="24"/>
                <w:szCs w:val="24"/>
                <w:vertAlign w:val="superscript"/>
              </w:rPr>
              <w:t>d</w:t>
            </w:r>
            <w:r w:rsidRPr="00842FE5">
              <w:rPr>
                <w:rFonts w:ascii="Times New Roman" w:hAnsi="Times New Roman" w:cs="Times New Roman"/>
                <w:color w:val="0D0D0D" w:themeColor="text1" w:themeTint="F2"/>
                <w:sz w:val="24"/>
                <w:szCs w:val="24"/>
              </w:rPr>
              <w:t xml:space="preserve">, n (%) </w:t>
            </w:r>
          </w:p>
        </w:tc>
        <w:tc>
          <w:tcPr>
            <w:tcW w:w="2127" w:type="dxa"/>
            <w:vAlign w:val="center"/>
          </w:tcPr>
          <w:p w14:paraId="3BB8F852" w14:textId="4BDDA43C" w:rsidR="00D77FD1" w:rsidRPr="00842FE5" w:rsidRDefault="00D77FD1" w:rsidP="00643AC4">
            <w:pPr>
              <w:tabs>
                <w:tab w:val="left" w:pos="3441"/>
              </w:tabs>
              <w:jc w:val="center"/>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367 (98.7)</w:t>
            </w:r>
          </w:p>
        </w:tc>
      </w:tr>
      <w:tr w:rsidR="00842FE5" w:rsidRPr="00842FE5" w14:paraId="55F571D3" w14:textId="77777777" w:rsidTr="00A82F2A">
        <w:tc>
          <w:tcPr>
            <w:tcW w:w="6439" w:type="dxa"/>
            <w:vAlign w:val="center"/>
          </w:tcPr>
          <w:p w14:paraId="4583048F" w14:textId="5ED77078" w:rsidR="00C166C4" w:rsidRPr="00842FE5" w:rsidRDefault="00C166C4" w:rsidP="00643AC4">
            <w:pPr>
              <w:tabs>
                <w:tab w:val="left" w:pos="3441"/>
              </w:tabs>
              <w:ind w:left="521" w:hanging="142"/>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Insulin glargine 100 U/mL</w:t>
            </w:r>
          </w:p>
        </w:tc>
        <w:tc>
          <w:tcPr>
            <w:tcW w:w="2127" w:type="dxa"/>
            <w:vAlign w:val="center"/>
          </w:tcPr>
          <w:p w14:paraId="4E52B4F8" w14:textId="0A02A67B" w:rsidR="00C166C4" w:rsidRPr="00842FE5" w:rsidRDefault="00C166C4" w:rsidP="00643AC4">
            <w:pPr>
              <w:tabs>
                <w:tab w:val="left" w:pos="3441"/>
              </w:tabs>
              <w:jc w:val="center"/>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222 (59.7)</w:t>
            </w:r>
          </w:p>
        </w:tc>
      </w:tr>
      <w:tr w:rsidR="00842FE5" w:rsidRPr="00842FE5" w14:paraId="520D30EA" w14:textId="77777777" w:rsidTr="00A82F2A">
        <w:tc>
          <w:tcPr>
            <w:tcW w:w="6439" w:type="dxa"/>
            <w:vAlign w:val="center"/>
          </w:tcPr>
          <w:p w14:paraId="4E815608" w14:textId="22B96BF7" w:rsidR="00C166C4" w:rsidRPr="00842FE5" w:rsidRDefault="00C166C4" w:rsidP="00643AC4">
            <w:pPr>
              <w:tabs>
                <w:tab w:val="left" w:pos="3441"/>
              </w:tabs>
              <w:ind w:left="521" w:hanging="142"/>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Insulin detemir</w:t>
            </w:r>
          </w:p>
        </w:tc>
        <w:tc>
          <w:tcPr>
            <w:tcW w:w="2127" w:type="dxa"/>
            <w:vAlign w:val="center"/>
          </w:tcPr>
          <w:p w14:paraId="52CE5E87" w14:textId="3E6FADCF" w:rsidR="00C166C4" w:rsidRPr="00842FE5" w:rsidRDefault="00C166C4" w:rsidP="00643AC4">
            <w:pPr>
              <w:tabs>
                <w:tab w:val="left" w:pos="3441"/>
              </w:tabs>
              <w:jc w:val="center"/>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21 (5.6)</w:t>
            </w:r>
          </w:p>
        </w:tc>
      </w:tr>
      <w:tr w:rsidR="00842FE5" w:rsidRPr="00842FE5" w14:paraId="5554ADAC" w14:textId="77777777" w:rsidTr="00A82F2A">
        <w:tc>
          <w:tcPr>
            <w:tcW w:w="6439" w:type="dxa"/>
            <w:vAlign w:val="center"/>
          </w:tcPr>
          <w:p w14:paraId="3010470C" w14:textId="5D6BB830" w:rsidR="00C166C4" w:rsidRPr="00842FE5" w:rsidRDefault="00C166C4" w:rsidP="00643AC4">
            <w:pPr>
              <w:tabs>
                <w:tab w:val="left" w:pos="3441"/>
              </w:tabs>
              <w:ind w:left="521" w:hanging="142"/>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NPH Insulin</w:t>
            </w:r>
          </w:p>
        </w:tc>
        <w:tc>
          <w:tcPr>
            <w:tcW w:w="2127" w:type="dxa"/>
            <w:vAlign w:val="center"/>
          </w:tcPr>
          <w:p w14:paraId="7B826B20" w14:textId="0885E90D" w:rsidR="00C166C4" w:rsidRPr="00842FE5" w:rsidRDefault="00C166C4" w:rsidP="00643AC4">
            <w:pPr>
              <w:tabs>
                <w:tab w:val="left" w:pos="3441"/>
              </w:tabs>
              <w:jc w:val="center"/>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107 (28.8)</w:t>
            </w:r>
          </w:p>
        </w:tc>
      </w:tr>
      <w:tr w:rsidR="00842FE5" w:rsidRPr="00842FE5" w14:paraId="40189116" w14:textId="77777777" w:rsidTr="00A82F2A">
        <w:tc>
          <w:tcPr>
            <w:tcW w:w="6439" w:type="dxa"/>
            <w:vAlign w:val="center"/>
          </w:tcPr>
          <w:p w14:paraId="4EA08356" w14:textId="144A4282" w:rsidR="00C166C4" w:rsidRPr="00842FE5" w:rsidRDefault="00C166C4" w:rsidP="00643AC4">
            <w:pPr>
              <w:tabs>
                <w:tab w:val="left" w:pos="3441"/>
              </w:tabs>
              <w:ind w:left="521" w:hanging="142"/>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Insulin degludec</w:t>
            </w:r>
          </w:p>
        </w:tc>
        <w:tc>
          <w:tcPr>
            <w:tcW w:w="2127" w:type="dxa"/>
            <w:vAlign w:val="center"/>
          </w:tcPr>
          <w:p w14:paraId="7EDB59FF" w14:textId="7FE64433" w:rsidR="00C166C4" w:rsidRPr="00842FE5" w:rsidRDefault="00C166C4" w:rsidP="00643AC4">
            <w:pPr>
              <w:tabs>
                <w:tab w:val="left" w:pos="3441"/>
              </w:tabs>
              <w:jc w:val="center"/>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17 (4.6)</w:t>
            </w:r>
          </w:p>
        </w:tc>
      </w:tr>
      <w:tr w:rsidR="00842FE5" w:rsidRPr="00842FE5" w14:paraId="1A6DC7AC" w14:textId="77777777" w:rsidTr="00A82F2A">
        <w:tc>
          <w:tcPr>
            <w:tcW w:w="6439" w:type="dxa"/>
            <w:vAlign w:val="center"/>
          </w:tcPr>
          <w:p w14:paraId="23A3D329" w14:textId="0083FB42" w:rsidR="0028752F" w:rsidRPr="00842FE5" w:rsidRDefault="00E50CFE" w:rsidP="009748BE">
            <w:pPr>
              <w:tabs>
                <w:tab w:val="left" w:pos="3441"/>
              </w:tabs>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 xml:space="preserve">Duration of </w:t>
            </w:r>
            <w:r w:rsidR="00483C9E" w:rsidRPr="00842FE5">
              <w:rPr>
                <w:rFonts w:ascii="Times New Roman" w:hAnsi="Times New Roman" w:cs="Times New Roman"/>
                <w:color w:val="0D0D0D" w:themeColor="text1" w:themeTint="F2"/>
                <w:sz w:val="24"/>
                <w:szCs w:val="24"/>
              </w:rPr>
              <w:t>previous non-insulin anti</w:t>
            </w:r>
            <w:r w:rsidR="008C4771" w:rsidRPr="00842FE5">
              <w:rPr>
                <w:rFonts w:ascii="Times New Roman" w:hAnsi="Times New Roman" w:cs="Times New Roman"/>
                <w:color w:val="0D0D0D" w:themeColor="text1" w:themeTint="F2"/>
                <w:sz w:val="24"/>
                <w:szCs w:val="24"/>
              </w:rPr>
              <w:t>diabetic treatment,</w:t>
            </w:r>
            <w:r w:rsidR="009748BE" w:rsidRPr="00842FE5">
              <w:rPr>
                <w:rFonts w:ascii="Times New Roman" w:hAnsi="Times New Roman" w:cs="Times New Roman"/>
                <w:color w:val="0D0D0D" w:themeColor="text1" w:themeTint="F2"/>
                <w:sz w:val="24"/>
                <w:szCs w:val="24"/>
              </w:rPr>
              <w:t xml:space="preserve"> mean (SD)</w:t>
            </w:r>
            <w:r w:rsidR="008C4771" w:rsidRPr="00842FE5">
              <w:rPr>
                <w:rFonts w:ascii="Times New Roman" w:hAnsi="Times New Roman" w:cs="Times New Roman"/>
                <w:color w:val="0D0D0D" w:themeColor="text1" w:themeTint="F2"/>
                <w:sz w:val="24"/>
                <w:szCs w:val="24"/>
              </w:rPr>
              <w:t xml:space="preserve"> years</w:t>
            </w:r>
            <w:r w:rsidR="009535C4" w:rsidRPr="00842FE5">
              <w:rPr>
                <w:rFonts w:ascii="Times New Roman" w:hAnsi="Times New Roman" w:cs="Times New Roman"/>
                <w:color w:val="0D0D0D" w:themeColor="text1" w:themeTint="F2"/>
                <w:sz w:val="24"/>
                <w:szCs w:val="24"/>
                <w:vertAlign w:val="superscript"/>
              </w:rPr>
              <w:t>e</w:t>
            </w:r>
          </w:p>
        </w:tc>
        <w:tc>
          <w:tcPr>
            <w:tcW w:w="2127" w:type="dxa"/>
            <w:vAlign w:val="center"/>
          </w:tcPr>
          <w:p w14:paraId="5EE88CC8" w14:textId="09FAFE4C" w:rsidR="0028752F" w:rsidRPr="00842FE5" w:rsidRDefault="008C4771" w:rsidP="00643AC4">
            <w:pPr>
              <w:tabs>
                <w:tab w:val="left" w:pos="3441"/>
              </w:tabs>
              <w:jc w:val="center"/>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5.40 (5.85)</w:t>
            </w:r>
          </w:p>
        </w:tc>
      </w:tr>
      <w:tr w:rsidR="00842FE5" w:rsidRPr="00842FE5" w14:paraId="308351D0" w14:textId="77777777" w:rsidTr="00A82F2A">
        <w:tc>
          <w:tcPr>
            <w:tcW w:w="6439" w:type="dxa"/>
            <w:vAlign w:val="center"/>
          </w:tcPr>
          <w:tbl>
            <w:tblPr>
              <w:tblW w:w="0" w:type="auto"/>
              <w:tblBorders>
                <w:top w:val="nil"/>
                <w:left w:val="nil"/>
                <w:bottom w:val="nil"/>
                <w:right w:val="nil"/>
              </w:tblBorders>
              <w:tblLook w:val="0000" w:firstRow="0" w:lastRow="0" w:firstColumn="0" w:lastColumn="0" w:noHBand="0" w:noVBand="0"/>
            </w:tblPr>
            <w:tblGrid>
              <w:gridCol w:w="5946"/>
              <w:gridCol w:w="222"/>
            </w:tblGrid>
            <w:tr w:rsidR="00842FE5" w:rsidRPr="00842FE5" w14:paraId="71B79894" w14:textId="77777777">
              <w:trPr>
                <w:trHeight w:val="256"/>
              </w:trPr>
              <w:tc>
                <w:tcPr>
                  <w:tcW w:w="0" w:type="auto"/>
                </w:tcPr>
                <w:p w14:paraId="030509ED" w14:textId="58D32D1C" w:rsidR="00312F75" w:rsidRPr="00842FE5" w:rsidRDefault="00312F75" w:rsidP="003E6CD9">
                  <w:pPr>
                    <w:autoSpaceDE w:val="0"/>
                    <w:autoSpaceDN w:val="0"/>
                    <w:adjustRightInd w:val="0"/>
                    <w:spacing w:after="0" w:line="240" w:lineRule="auto"/>
                    <w:rPr>
                      <w:rFonts w:ascii="Times New Roman" w:hAnsi="Times New Roman" w:cs="Times New Roman"/>
                      <w:color w:val="0D0D0D" w:themeColor="text1" w:themeTint="F2"/>
                      <w:sz w:val="24"/>
                      <w:szCs w:val="24"/>
                      <w:lang w:val="en-IN"/>
                    </w:rPr>
                  </w:pPr>
                  <w:r w:rsidRPr="00842FE5">
                    <w:rPr>
                      <w:rFonts w:ascii="Times New Roman" w:hAnsi="Times New Roman" w:cs="Times New Roman"/>
                      <w:color w:val="0D0D0D" w:themeColor="text1" w:themeTint="F2"/>
                      <w:sz w:val="24"/>
                      <w:szCs w:val="24"/>
                      <w:lang w:val="en-IN"/>
                    </w:rPr>
                    <w:t>Any previous noninsulin antihyperglyc</w:t>
                  </w:r>
                  <w:r w:rsidR="00F65121" w:rsidRPr="00842FE5">
                    <w:rPr>
                      <w:rFonts w:ascii="Times New Roman" w:hAnsi="Times New Roman" w:cs="Times New Roman"/>
                      <w:color w:val="0D0D0D" w:themeColor="text1" w:themeTint="F2"/>
                      <w:sz w:val="24"/>
                      <w:szCs w:val="24"/>
                      <w:lang w:val="en-IN"/>
                    </w:rPr>
                    <w:t>a</w:t>
                  </w:r>
                  <w:r w:rsidRPr="00842FE5">
                    <w:rPr>
                      <w:rFonts w:ascii="Times New Roman" w:hAnsi="Times New Roman" w:cs="Times New Roman"/>
                      <w:color w:val="0D0D0D" w:themeColor="text1" w:themeTint="F2"/>
                      <w:sz w:val="24"/>
                      <w:szCs w:val="24"/>
                      <w:lang w:val="en-IN"/>
                    </w:rPr>
                    <w:t>emic agents, n (%)</w:t>
                  </w:r>
                  <w:r w:rsidRPr="00842FE5">
                    <w:rPr>
                      <w:rFonts w:ascii="Times New Roman" w:hAnsi="Times New Roman" w:cs="Times New Roman"/>
                      <w:color w:val="0D0D0D" w:themeColor="text1" w:themeTint="F2"/>
                      <w:sz w:val="24"/>
                      <w:szCs w:val="24"/>
                      <w:vertAlign w:val="superscript"/>
                      <w:lang w:val="en-IN"/>
                    </w:rPr>
                    <w:t>a</w:t>
                  </w:r>
                </w:p>
              </w:tc>
              <w:tc>
                <w:tcPr>
                  <w:tcW w:w="0" w:type="auto"/>
                </w:tcPr>
                <w:p w14:paraId="735A7E99" w14:textId="74D7C26E" w:rsidR="00312F75" w:rsidRPr="00842FE5" w:rsidRDefault="00312F75" w:rsidP="003E6CD9">
                  <w:pPr>
                    <w:autoSpaceDE w:val="0"/>
                    <w:autoSpaceDN w:val="0"/>
                    <w:adjustRightInd w:val="0"/>
                    <w:spacing w:after="0" w:line="240" w:lineRule="auto"/>
                    <w:rPr>
                      <w:rFonts w:ascii="Times New Roman" w:hAnsi="Times New Roman" w:cs="Times New Roman"/>
                      <w:color w:val="0D0D0D" w:themeColor="text1" w:themeTint="F2"/>
                      <w:sz w:val="24"/>
                      <w:szCs w:val="24"/>
                      <w:lang w:val="en-IN"/>
                    </w:rPr>
                  </w:pPr>
                </w:p>
              </w:tc>
            </w:tr>
          </w:tbl>
          <w:p w14:paraId="6F4146E2" w14:textId="77777777" w:rsidR="00D77FD1" w:rsidRPr="00842FE5" w:rsidRDefault="00D77FD1" w:rsidP="003E6CD9">
            <w:pPr>
              <w:tabs>
                <w:tab w:val="left" w:pos="3441"/>
              </w:tabs>
              <w:ind w:left="521" w:hanging="521"/>
              <w:rPr>
                <w:rFonts w:ascii="Times New Roman" w:hAnsi="Times New Roman" w:cs="Times New Roman"/>
                <w:color w:val="0D0D0D" w:themeColor="text1" w:themeTint="F2"/>
                <w:sz w:val="24"/>
                <w:szCs w:val="24"/>
              </w:rPr>
            </w:pPr>
          </w:p>
        </w:tc>
        <w:tc>
          <w:tcPr>
            <w:tcW w:w="2127" w:type="dxa"/>
            <w:vAlign w:val="center"/>
          </w:tcPr>
          <w:p w14:paraId="36492E55" w14:textId="144ADCB1" w:rsidR="00D77FD1" w:rsidRPr="00842FE5" w:rsidRDefault="00312F75" w:rsidP="00643AC4">
            <w:pPr>
              <w:tabs>
                <w:tab w:val="left" w:pos="3441"/>
              </w:tabs>
              <w:jc w:val="center"/>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lang w:val="en-IN"/>
              </w:rPr>
              <w:t>331 (89.0)</w:t>
            </w:r>
          </w:p>
        </w:tc>
      </w:tr>
      <w:tr w:rsidR="00842FE5" w:rsidRPr="00842FE5" w14:paraId="4B7AE0FC" w14:textId="77777777" w:rsidTr="00A82F2A">
        <w:tc>
          <w:tcPr>
            <w:tcW w:w="6439" w:type="dxa"/>
            <w:vAlign w:val="center"/>
          </w:tcPr>
          <w:p w14:paraId="189AC8FC" w14:textId="3EF33D29" w:rsidR="00FB6C95" w:rsidRPr="00842FE5" w:rsidRDefault="00FB6C95" w:rsidP="00643AC4">
            <w:pPr>
              <w:tabs>
                <w:tab w:val="left" w:pos="3441"/>
              </w:tabs>
              <w:ind w:left="521" w:hanging="142"/>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Biguanides</w:t>
            </w:r>
          </w:p>
        </w:tc>
        <w:tc>
          <w:tcPr>
            <w:tcW w:w="2127" w:type="dxa"/>
            <w:vAlign w:val="center"/>
          </w:tcPr>
          <w:p w14:paraId="051D2E03" w14:textId="147E3573" w:rsidR="00FB6C95" w:rsidRPr="00842FE5" w:rsidRDefault="00FB6C95" w:rsidP="00643AC4">
            <w:pPr>
              <w:tabs>
                <w:tab w:val="left" w:pos="3441"/>
              </w:tabs>
              <w:jc w:val="center"/>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304 (81.7)</w:t>
            </w:r>
          </w:p>
        </w:tc>
      </w:tr>
      <w:tr w:rsidR="00842FE5" w:rsidRPr="00842FE5" w14:paraId="69E01DF7" w14:textId="77777777" w:rsidTr="00A82F2A">
        <w:tc>
          <w:tcPr>
            <w:tcW w:w="6439" w:type="dxa"/>
            <w:vAlign w:val="center"/>
          </w:tcPr>
          <w:p w14:paraId="05553E8F" w14:textId="48D5314D" w:rsidR="00FB6C95" w:rsidRPr="00842FE5" w:rsidRDefault="00FB6C95" w:rsidP="00643AC4">
            <w:pPr>
              <w:tabs>
                <w:tab w:val="left" w:pos="3441"/>
              </w:tabs>
              <w:ind w:left="521" w:hanging="142"/>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SU</w:t>
            </w:r>
          </w:p>
        </w:tc>
        <w:tc>
          <w:tcPr>
            <w:tcW w:w="2127" w:type="dxa"/>
            <w:vAlign w:val="center"/>
          </w:tcPr>
          <w:p w14:paraId="324DB331" w14:textId="35D13D7A" w:rsidR="00FB6C95" w:rsidRPr="00842FE5" w:rsidRDefault="00FB6C95" w:rsidP="00643AC4">
            <w:pPr>
              <w:tabs>
                <w:tab w:val="left" w:pos="3441"/>
              </w:tabs>
              <w:jc w:val="center"/>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129 (34.7)</w:t>
            </w:r>
          </w:p>
        </w:tc>
      </w:tr>
      <w:tr w:rsidR="00842FE5" w:rsidRPr="00842FE5" w14:paraId="00CBCA25" w14:textId="77777777" w:rsidTr="00A82F2A">
        <w:tc>
          <w:tcPr>
            <w:tcW w:w="6439" w:type="dxa"/>
            <w:vAlign w:val="center"/>
          </w:tcPr>
          <w:p w14:paraId="5CDAEE9E" w14:textId="37303761" w:rsidR="00FB6C95" w:rsidRPr="00842FE5" w:rsidRDefault="00FB6C95" w:rsidP="00643AC4">
            <w:pPr>
              <w:tabs>
                <w:tab w:val="left" w:pos="3441"/>
              </w:tabs>
              <w:ind w:left="521" w:hanging="142"/>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DPP-4 inhibitors</w:t>
            </w:r>
          </w:p>
        </w:tc>
        <w:tc>
          <w:tcPr>
            <w:tcW w:w="2127" w:type="dxa"/>
            <w:vAlign w:val="center"/>
          </w:tcPr>
          <w:p w14:paraId="5601093A" w14:textId="4FC957B5" w:rsidR="00FB6C95" w:rsidRPr="00842FE5" w:rsidRDefault="00FB6C95" w:rsidP="00643AC4">
            <w:pPr>
              <w:tabs>
                <w:tab w:val="left" w:pos="3441"/>
              </w:tabs>
              <w:jc w:val="center"/>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106 (28.5)</w:t>
            </w:r>
          </w:p>
        </w:tc>
      </w:tr>
      <w:tr w:rsidR="00842FE5" w:rsidRPr="00842FE5" w14:paraId="189339F1" w14:textId="77777777" w:rsidTr="00A82F2A">
        <w:tc>
          <w:tcPr>
            <w:tcW w:w="6439" w:type="dxa"/>
            <w:vAlign w:val="center"/>
          </w:tcPr>
          <w:p w14:paraId="5FAD3F0A" w14:textId="7A36A1ED" w:rsidR="00FB6C95" w:rsidRPr="00842FE5" w:rsidRDefault="00FB6C95" w:rsidP="00643AC4">
            <w:pPr>
              <w:tabs>
                <w:tab w:val="left" w:pos="3441"/>
              </w:tabs>
              <w:ind w:left="521" w:hanging="142"/>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SGLT-2 inhibitors</w:t>
            </w:r>
          </w:p>
        </w:tc>
        <w:tc>
          <w:tcPr>
            <w:tcW w:w="2127" w:type="dxa"/>
            <w:vAlign w:val="center"/>
          </w:tcPr>
          <w:p w14:paraId="14583FC6" w14:textId="1CEF05E0" w:rsidR="00FB6C95" w:rsidRPr="00842FE5" w:rsidRDefault="00FB6C95" w:rsidP="00643AC4">
            <w:pPr>
              <w:tabs>
                <w:tab w:val="left" w:pos="3441"/>
              </w:tabs>
              <w:jc w:val="center"/>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50 (13.4)</w:t>
            </w:r>
          </w:p>
        </w:tc>
      </w:tr>
      <w:tr w:rsidR="00842FE5" w:rsidRPr="00842FE5" w14:paraId="580146DB" w14:textId="77777777" w:rsidTr="00A82F2A">
        <w:tc>
          <w:tcPr>
            <w:tcW w:w="6439" w:type="dxa"/>
            <w:vAlign w:val="center"/>
          </w:tcPr>
          <w:p w14:paraId="03F760B9" w14:textId="18C110C2" w:rsidR="00FB6C95" w:rsidRPr="00842FE5" w:rsidRDefault="00FB6C95" w:rsidP="00643AC4">
            <w:pPr>
              <w:tabs>
                <w:tab w:val="left" w:pos="3441"/>
              </w:tabs>
              <w:ind w:left="521" w:hanging="142"/>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GLP-1 RA</w:t>
            </w:r>
          </w:p>
        </w:tc>
        <w:tc>
          <w:tcPr>
            <w:tcW w:w="2127" w:type="dxa"/>
            <w:vAlign w:val="center"/>
          </w:tcPr>
          <w:p w14:paraId="44464CE8" w14:textId="41ACA6A9" w:rsidR="00FB6C95" w:rsidRPr="00842FE5" w:rsidRDefault="00FB6C95" w:rsidP="00643AC4">
            <w:pPr>
              <w:tabs>
                <w:tab w:val="left" w:pos="3441"/>
              </w:tabs>
              <w:jc w:val="center"/>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19 (5.1)</w:t>
            </w:r>
          </w:p>
        </w:tc>
      </w:tr>
      <w:tr w:rsidR="00842FE5" w:rsidRPr="00842FE5" w14:paraId="32E8B156" w14:textId="77777777" w:rsidTr="00A82F2A">
        <w:tc>
          <w:tcPr>
            <w:tcW w:w="6439" w:type="dxa"/>
            <w:vAlign w:val="center"/>
          </w:tcPr>
          <w:p w14:paraId="64106B51" w14:textId="72CD2350" w:rsidR="00754200" w:rsidRPr="00842FE5" w:rsidRDefault="0022427E" w:rsidP="00643AC4">
            <w:pPr>
              <w:tabs>
                <w:tab w:val="left" w:pos="3441"/>
              </w:tabs>
              <w:ind w:left="521" w:hanging="142"/>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Thiazolidinediones</w:t>
            </w:r>
          </w:p>
        </w:tc>
        <w:tc>
          <w:tcPr>
            <w:tcW w:w="2127" w:type="dxa"/>
            <w:vAlign w:val="center"/>
          </w:tcPr>
          <w:p w14:paraId="64F1FFA1" w14:textId="26176C9C" w:rsidR="00754200" w:rsidRPr="00842FE5" w:rsidRDefault="001F5946" w:rsidP="00643AC4">
            <w:pPr>
              <w:tabs>
                <w:tab w:val="left" w:pos="3441"/>
              </w:tabs>
              <w:jc w:val="center"/>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17 (4.6)</w:t>
            </w:r>
          </w:p>
        </w:tc>
      </w:tr>
      <w:tr w:rsidR="00842FE5" w:rsidRPr="00842FE5" w14:paraId="17FF13CB" w14:textId="77777777" w:rsidTr="00A82F2A">
        <w:tc>
          <w:tcPr>
            <w:tcW w:w="6439" w:type="dxa"/>
            <w:vAlign w:val="center"/>
          </w:tcPr>
          <w:p w14:paraId="1C759462" w14:textId="6C095A11" w:rsidR="00754200" w:rsidRPr="00842FE5" w:rsidRDefault="00ED1A8C" w:rsidP="00643AC4">
            <w:pPr>
              <w:tabs>
                <w:tab w:val="left" w:pos="3441"/>
              </w:tabs>
              <w:ind w:left="521" w:hanging="142"/>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Alpha-glucosidase inhibitors</w:t>
            </w:r>
          </w:p>
        </w:tc>
        <w:tc>
          <w:tcPr>
            <w:tcW w:w="2127" w:type="dxa"/>
            <w:vAlign w:val="center"/>
          </w:tcPr>
          <w:p w14:paraId="65CA2BCC" w14:textId="5B11D066" w:rsidR="00754200" w:rsidRPr="00842FE5" w:rsidRDefault="00AC460C" w:rsidP="00643AC4">
            <w:pPr>
              <w:tabs>
                <w:tab w:val="left" w:pos="3441"/>
              </w:tabs>
              <w:jc w:val="center"/>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7 (1.9)</w:t>
            </w:r>
          </w:p>
        </w:tc>
      </w:tr>
      <w:tr w:rsidR="00842FE5" w:rsidRPr="00842FE5" w14:paraId="2B6F9199" w14:textId="77777777" w:rsidTr="00A82F2A">
        <w:tc>
          <w:tcPr>
            <w:tcW w:w="6439" w:type="dxa"/>
            <w:vAlign w:val="center"/>
          </w:tcPr>
          <w:p w14:paraId="79F9A2EF" w14:textId="254AFA36" w:rsidR="008E0D28" w:rsidRPr="00842FE5" w:rsidRDefault="00260F11" w:rsidP="00643AC4">
            <w:pPr>
              <w:tabs>
                <w:tab w:val="left" w:pos="3441"/>
              </w:tabs>
              <w:ind w:left="521" w:hanging="142"/>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Glinides</w:t>
            </w:r>
          </w:p>
        </w:tc>
        <w:tc>
          <w:tcPr>
            <w:tcW w:w="2127" w:type="dxa"/>
            <w:vAlign w:val="center"/>
          </w:tcPr>
          <w:p w14:paraId="78ECB1D8" w14:textId="5D658632" w:rsidR="008E0D28" w:rsidRPr="00842FE5" w:rsidRDefault="0074336B" w:rsidP="00643AC4">
            <w:pPr>
              <w:tabs>
                <w:tab w:val="left" w:pos="3441"/>
              </w:tabs>
              <w:jc w:val="center"/>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1 (0.3)</w:t>
            </w:r>
          </w:p>
        </w:tc>
      </w:tr>
      <w:tr w:rsidR="00842FE5" w:rsidRPr="00842FE5" w14:paraId="1FD17807" w14:textId="77777777" w:rsidTr="00A82F2A">
        <w:tc>
          <w:tcPr>
            <w:tcW w:w="6439" w:type="dxa"/>
            <w:vAlign w:val="center"/>
          </w:tcPr>
          <w:p w14:paraId="2D749CCE" w14:textId="6FD9218C" w:rsidR="00FB6C95" w:rsidRPr="00842FE5" w:rsidRDefault="00FB6C95" w:rsidP="00643AC4">
            <w:pPr>
              <w:tabs>
                <w:tab w:val="left" w:pos="3441"/>
              </w:tabs>
              <w:ind w:left="521" w:hanging="142"/>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Others</w:t>
            </w:r>
          </w:p>
        </w:tc>
        <w:tc>
          <w:tcPr>
            <w:tcW w:w="2127" w:type="dxa"/>
            <w:vAlign w:val="center"/>
          </w:tcPr>
          <w:p w14:paraId="6DB04EF1" w14:textId="3E805052" w:rsidR="00FB6C95" w:rsidRPr="00842FE5" w:rsidRDefault="0074336B" w:rsidP="00643AC4">
            <w:pPr>
              <w:tabs>
                <w:tab w:val="left" w:pos="3441"/>
              </w:tabs>
              <w:jc w:val="center"/>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rPr>
              <w:t>1 (0.3)</w:t>
            </w:r>
          </w:p>
        </w:tc>
      </w:tr>
    </w:tbl>
    <w:p w14:paraId="06A06158" w14:textId="6096FB37" w:rsidR="00133247" w:rsidRPr="00842FE5" w:rsidRDefault="00157D5E" w:rsidP="00C75339">
      <w:pPr>
        <w:tabs>
          <w:tab w:val="left" w:pos="3441"/>
        </w:tabs>
        <w:spacing w:line="240" w:lineRule="auto"/>
        <w:ind w:left="360"/>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vertAlign w:val="superscript"/>
        </w:rPr>
        <w:t>a</w:t>
      </w:r>
      <w:r w:rsidRPr="00842FE5">
        <w:rPr>
          <w:rFonts w:ascii="Times New Roman" w:hAnsi="Times New Roman" w:cs="Times New Roman"/>
          <w:color w:val="0D0D0D" w:themeColor="text1" w:themeTint="F2"/>
          <w:sz w:val="24"/>
          <w:szCs w:val="24"/>
        </w:rPr>
        <w:t>Participants c</w:t>
      </w:r>
      <w:r w:rsidR="009E4C88">
        <w:rPr>
          <w:rFonts w:ascii="Times New Roman" w:hAnsi="Times New Roman" w:cs="Times New Roman"/>
          <w:color w:val="0D0D0D" w:themeColor="text1" w:themeTint="F2"/>
          <w:sz w:val="24"/>
          <w:szCs w:val="24"/>
        </w:rPr>
        <w:t xml:space="preserve">ould have been </w:t>
      </w:r>
      <w:r w:rsidRPr="00842FE5">
        <w:rPr>
          <w:rFonts w:ascii="Times New Roman" w:hAnsi="Times New Roman" w:cs="Times New Roman"/>
          <w:color w:val="0D0D0D" w:themeColor="text1" w:themeTint="F2"/>
          <w:sz w:val="24"/>
          <w:szCs w:val="24"/>
        </w:rPr>
        <w:t>counted in several categories</w:t>
      </w:r>
      <w:r w:rsidR="003058A2" w:rsidRPr="00842FE5">
        <w:rPr>
          <w:rFonts w:ascii="Times New Roman" w:hAnsi="Times New Roman" w:cs="Times New Roman"/>
          <w:color w:val="0D0D0D" w:themeColor="text1" w:themeTint="F2"/>
          <w:sz w:val="24"/>
          <w:szCs w:val="24"/>
        </w:rPr>
        <w:t>.</w:t>
      </w:r>
    </w:p>
    <w:p w14:paraId="3BD1053A" w14:textId="686F03FF" w:rsidR="003058A2" w:rsidRPr="00842FE5" w:rsidRDefault="00157D5E" w:rsidP="00C75339">
      <w:pPr>
        <w:tabs>
          <w:tab w:val="left" w:pos="3441"/>
        </w:tabs>
        <w:spacing w:line="240" w:lineRule="auto"/>
        <w:ind w:left="360"/>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vertAlign w:val="superscript"/>
        </w:rPr>
        <w:t>b</w:t>
      </w:r>
      <w:r w:rsidRPr="00842FE5">
        <w:rPr>
          <w:rFonts w:ascii="Times New Roman" w:hAnsi="Times New Roman" w:cs="Times New Roman"/>
          <w:color w:val="0D0D0D" w:themeColor="text1" w:themeTint="F2"/>
          <w:sz w:val="24"/>
          <w:szCs w:val="24"/>
        </w:rPr>
        <w:t xml:space="preserve">Participants </w:t>
      </w:r>
      <w:r w:rsidR="009E4C88">
        <w:rPr>
          <w:rFonts w:ascii="Times New Roman" w:hAnsi="Times New Roman" w:cs="Times New Roman"/>
          <w:color w:val="0D0D0D" w:themeColor="text1" w:themeTint="F2"/>
          <w:sz w:val="24"/>
          <w:szCs w:val="24"/>
        </w:rPr>
        <w:t xml:space="preserve">could </w:t>
      </w:r>
      <w:r w:rsidRPr="00842FE5">
        <w:rPr>
          <w:rFonts w:ascii="Times New Roman" w:hAnsi="Times New Roman" w:cs="Times New Roman"/>
          <w:color w:val="0D0D0D" w:themeColor="text1" w:themeTint="F2"/>
          <w:sz w:val="24"/>
          <w:szCs w:val="24"/>
        </w:rPr>
        <w:t>have multiple retinopathy occurrences, with different subtypes</w:t>
      </w:r>
      <w:r w:rsidR="003058A2" w:rsidRPr="00842FE5">
        <w:rPr>
          <w:rFonts w:ascii="Times New Roman" w:hAnsi="Times New Roman" w:cs="Times New Roman"/>
          <w:color w:val="0D0D0D" w:themeColor="text1" w:themeTint="F2"/>
          <w:sz w:val="24"/>
          <w:szCs w:val="24"/>
        </w:rPr>
        <w:t>.</w:t>
      </w:r>
    </w:p>
    <w:p w14:paraId="426C0FA0" w14:textId="3BF64BBE" w:rsidR="003058A2" w:rsidRPr="00842FE5" w:rsidRDefault="0090771B" w:rsidP="00C75339">
      <w:pPr>
        <w:tabs>
          <w:tab w:val="left" w:pos="3441"/>
        </w:tabs>
        <w:spacing w:line="240" w:lineRule="auto"/>
        <w:ind w:left="360"/>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vertAlign w:val="superscript"/>
        </w:rPr>
        <w:t>c</w:t>
      </w:r>
      <w:r w:rsidRPr="00842FE5">
        <w:rPr>
          <w:rFonts w:ascii="Times New Roman" w:hAnsi="Times New Roman" w:cs="Times New Roman"/>
          <w:color w:val="0D0D0D" w:themeColor="text1" w:themeTint="F2"/>
          <w:sz w:val="24"/>
          <w:szCs w:val="24"/>
        </w:rPr>
        <w:t xml:space="preserve">Refers </w:t>
      </w:r>
      <w:r w:rsidR="00157D5E" w:rsidRPr="00842FE5">
        <w:rPr>
          <w:rFonts w:ascii="Times New Roman" w:hAnsi="Times New Roman" w:cs="Times New Roman"/>
          <w:color w:val="0D0D0D" w:themeColor="text1" w:themeTint="F2"/>
          <w:sz w:val="24"/>
          <w:szCs w:val="24"/>
        </w:rPr>
        <w:t xml:space="preserve">to the whole duration </w:t>
      </w:r>
      <w:r w:rsidR="00370436" w:rsidRPr="00842FE5">
        <w:rPr>
          <w:rFonts w:ascii="Times New Roman" w:hAnsi="Times New Roman" w:cs="Times New Roman"/>
          <w:color w:val="0D0D0D" w:themeColor="text1" w:themeTint="F2"/>
          <w:sz w:val="24"/>
          <w:szCs w:val="24"/>
        </w:rPr>
        <w:t xml:space="preserve">participants </w:t>
      </w:r>
      <w:r w:rsidR="00DF036B">
        <w:rPr>
          <w:rFonts w:ascii="Times New Roman" w:hAnsi="Times New Roman" w:cs="Times New Roman"/>
          <w:color w:val="0D0D0D" w:themeColor="text1" w:themeTint="F2"/>
          <w:sz w:val="24"/>
          <w:szCs w:val="24"/>
        </w:rPr>
        <w:t xml:space="preserve">were </w:t>
      </w:r>
      <w:r w:rsidR="00157D5E" w:rsidRPr="00842FE5">
        <w:rPr>
          <w:rFonts w:ascii="Times New Roman" w:hAnsi="Times New Roman" w:cs="Times New Roman"/>
          <w:color w:val="0D0D0D" w:themeColor="text1" w:themeTint="F2"/>
          <w:sz w:val="24"/>
          <w:szCs w:val="24"/>
        </w:rPr>
        <w:t xml:space="preserve">on BI before the study </w:t>
      </w:r>
      <w:r w:rsidR="00601FDE" w:rsidRPr="00842FE5">
        <w:rPr>
          <w:rFonts w:ascii="Times New Roman" w:hAnsi="Times New Roman" w:cs="Times New Roman"/>
          <w:color w:val="0D0D0D" w:themeColor="text1" w:themeTint="F2"/>
          <w:sz w:val="24"/>
          <w:szCs w:val="24"/>
        </w:rPr>
        <w:t xml:space="preserve">regardless of </w:t>
      </w:r>
      <w:r w:rsidR="00157D5E" w:rsidRPr="00842FE5">
        <w:rPr>
          <w:rFonts w:ascii="Times New Roman" w:hAnsi="Times New Roman" w:cs="Times New Roman"/>
          <w:color w:val="0D0D0D" w:themeColor="text1" w:themeTint="F2"/>
          <w:sz w:val="24"/>
          <w:szCs w:val="24"/>
        </w:rPr>
        <w:t>the type and dose changes</w:t>
      </w:r>
      <w:r w:rsidR="003058A2" w:rsidRPr="00842FE5">
        <w:rPr>
          <w:rFonts w:ascii="Times New Roman" w:hAnsi="Times New Roman" w:cs="Times New Roman"/>
          <w:color w:val="0D0D0D" w:themeColor="text1" w:themeTint="F2"/>
          <w:sz w:val="24"/>
          <w:szCs w:val="24"/>
        </w:rPr>
        <w:t>.</w:t>
      </w:r>
    </w:p>
    <w:p w14:paraId="0F03EDD2" w14:textId="51A3585F" w:rsidR="003058A2" w:rsidRPr="00842FE5" w:rsidRDefault="00157D5E" w:rsidP="00C75339">
      <w:pPr>
        <w:tabs>
          <w:tab w:val="left" w:pos="3441"/>
        </w:tabs>
        <w:spacing w:line="240" w:lineRule="auto"/>
        <w:ind w:left="360"/>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vertAlign w:val="superscript"/>
        </w:rPr>
        <w:t>d</w:t>
      </w:r>
      <w:r w:rsidRPr="00842FE5">
        <w:rPr>
          <w:rFonts w:ascii="Times New Roman" w:hAnsi="Times New Roman" w:cs="Times New Roman"/>
          <w:color w:val="0D0D0D" w:themeColor="text1" w:themeTint="F2"/>
          <w:sz w:val="24"/>
          <w:szCs w:val="24"/>
        </w:rPr>
        <w:t>Refers to the latest BI received at the time of Visit 2</w:t>
      </w:r>
      <w:r w:rsidR="003058A2" w:rsidRPr="00842FE5">
        <w:rPr>
          <w:rFonts w:ascii="Times New Roman" w:hAnsi="Times New Roman" w:cs="Times New Roman"/>
          <w:color w:val="0D0D0D" w:themeColor="text1" w:themeTint="F2"/>
          <w:sz w:val="24"/>
          <w:szCs w:val="24"/>
        </w:rPr>
        <w:t>.</w:t>
      </w:r>
      <w:r w:rsidR="00BD210F" w:rsidRPr="00842FE5">
        <w:rPr>
          <w:rFonts w:ascii="Times New Roman" w:hAnsi="Times New Roman" w:cs="Times New Roman"/>
          <w:color w:val="0D0D0D" w:themeColor="text1" w:themeTint="F2"/>
          <w:sz w:val="24"/>
          <w:szCs w:val="24"/>
        </w:rPr>
        <w:t xml:space="preserve"> </w:t>
      </w:r>
    </w:p>
    <w:p w14:paraId="7287AEC3" w14:textId="0BC13B13" w:rsidR="00157D5E" w:rsidRPr="00842FE5" w:rsidRDefault="00BD210F" w:rsidP="00C75339">
      <w:pPr>
        <w:tabs>
          <w:tab w:val="left" w:pos="3441"/>
        </w:tabs>
        <w:spacing w:line="240" w:lineRule="auto"/>
        <w:ind w:left="360"/>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vertAlign w:val="superscript"/>
        </w:rPr>
        <w:t>e</w:t>
      </w:r>
      <w:r w:rsidR="00291F17" w:rsidRPr="00842FE5">
        <w:rPr>
          <w:rFonts w:ascii="Times New Roman" w:hAnsi="Times New Roman" w:cs="Times New Roman"/>
          <w:color w:val="0D0D0D" w:themeColor="text1" w:themeTint="F2"/>
          <w:sz w:val="24"/>
          <w:szCs w:val="24"/>
        </w:rPr>
        <w:t>Refers to the last</w:t>
      </w:r>
      <w:r w:rsidR="009535C4" w:rsidRPr="00842FE5">
        <w:rPr>
          <w:rFonts w:ascii="Times New Roman" w:hAnsi="Times New Roman" w:cs="Times New Roman"/>
          <w:color w:val="0D0D0D" w:themeColor="text1" w:themeTint="F2"/>
          <w:sz w:val="24"/>
          <w:szCs w:val="24"/>
        </w:rPr>
        <w:t xml:space="preserve"> treatment received at study entry</w:t>
      </w:r>
      <w:r w:rsidR="0074336B" w:rsidRPr="00842FE5">
        <w:rPr>
          <w:rFonts w:ascii="Times New Roman" w:hAnsi="Times New Roman" w:cs="Times New Roman"/>
          <w:color w:val="0D0D0D" w:themeColor="text1" w:themeTint="F2"/>
          <w:sz w:val="24"/>
          <w:szCs w:val="24"/>
        </w:rPr>
        <w:t>.</w:t>
      </w:r>
      <w:r w:rsidR="00157D5E" w:rsidRPr="00842FE5">
        <w:rPr>
          <w:rFonts w:ascii="Times New Roman" w:hAnsi="Times New Roman" w:cs="Times New Roman"/>
          <w:color w:val="0D0D0D" w:themeColor="text1" w:themeTint="F2"/>
          <w:sz w:val="24"/>
          <w:szCs w:val="24"/>
        </w:rPr>
        <w:t xml:space="preserve"> </w:t>
      </w:r>
    </w:p>
    <w:p w14:paraId="5D27DAAE" w14:textId="5D5D020A" w:rsidR="00504B88" w:rsidRPr="00842FE5" w:rsidRDefault="00157D5E" w:rsidP="00856670">
      <w:pPr>
        <w:tabs>
          <w:tab w:val="left" w:pos="3441"/>
        </w:tabs>
        <w:spacing w:line="240" w:lineRule="auto"/>
        <w:ind w:left="360"/>
        <w:rPr>
          <w:rFonts w:ascii="Times New Roman" w:hAnsi="Times New Roman" w:cs="Times New Roman"/>
          <w:b/>
          <w:bCs/>
          <w:color w:val="0D0D0D" w:themeColor="text1" w:themeTint="F2"/>
          <w:sz w:val="24"/>
          <w:szCs w:val="24"/>
        </w:rPr>
      </w:pPr>
      <w:r w:rsidRPr="009E4C88">
        <w:rPr>
          <w:rFonts w:ascii="Times New Roman" w:hAnsi="Times New Roman" w:cs="Times New Roman"/>
          <w:i/>
          <w:iCs/>
          <w:color w:val="0D0D0D" w:themeColor="text1" w:themeTint="F2"/>
          <w:sz w:val="24"/>
          <w:szCs w:val="24"/>
        </w:rPr>
        <w:t>BI</w:t>
      </w:r>
      <w:r w:rsidRPr="00842FE5">
        <w:rPr>
          <w:rFonts w:ascii="Times New Roman" w:hAnsi="Times New Roman" w:cs="Times New Roman"/>
          <w:color w:val="0D0D0D" w:themeColor="text1" w:themeTint="F2"/>
          <w:sz w:val="24"/>
          <w:szCs w:val="24"/>
        </w:rPr>
        <w:t xml:space="preserve"> basal insulin; </w:t>
      </w:r>
      <w:r w:rsidRPr="009E4C88">
        <w:rPr>
          <w:rFonts w:ascii="Times New Roman" w:hAnsi="Times New Roman" w:cs="Times New Roman"/>
          <w:i/>
          <w:iCs/>
          <w:color w:val="0D0D0D" w:themeColor="text1" w:themeTint="F2"/>
          <w:sz w:val="24"/>
          <w:szCs w:val="24"/>
        </w:rPr>
        <w:t>BMI</w:t>
      </w:r>
      <w:r w:rsidRPr="00842FE5">
        <w:rPr>
          <w:rFonts w:ascii="Times New Roman" w:hAnsi="Times New Roman" w:cs="Times New Roman"/>
          <w:color w:val="0D0D0D" w:themeColor="text1" w:themeTint="F2"/>
          <w:sz w:val="24"/>
          <w:szCs w:val="24"/>
        </w:rPr>
        <w:t xml:space="preserve"> body mass index; </w:t>
      </w:r>
      <w:r w:rsidRPr="00440635">
        <w:rPr>
          <w:rFonts w:ascii="Times New Roman" w:hAnsi="Times New Roman" w:cs="Times New Roman"/>
          <w:i/>
          <w:iCs/>
          <w:color w:val="0D0D0D" w:themeColor="text1" w:themeTint="F2"/>
          <w:sz w:val="24"/>
          <w:szCs w:val="24"/>
        </w:rPr>
        <w:t>DPP-4</w:t>
      </w:r>
      <w:r w:rsidRPr="00842FE5">
        <w:rPr>
          <w:rFonts w:ascii="Times New Roman" w:hAnsi="Times New Roman" w:cs="Times New Roman"/>
          <w:color w:val="0D0D0D" w:themeColor="text1" w:themeTint="F2"/>
          <w:sz w:val="24"/>
          <w:szCs w:val="24"/>
        </w:rPr>
        <w:t xml:space="preserve"> dipeptidyl peptidase 4; </w:t>
      </w:r>
      <w:r w:rsidRPr="00440635">
        <w:rPr>
          <w:rFonts w:ascii="Times New Roman" w:hAnsi="Times New Roman" w:cs="Times New Roman"/>
          <w:i/>
          <w:iCs/>
          <w:color w:val="0D0D0D" w:themeColor="text1" w:themeTint="F2"/>
          <w:sz w:val="24"/>
          <w:szCs w:val="24"/>
        </w:rPr>
        <w:t>Gla-300</w:t>
      </w:r>
      <w:r w:rsidRPr="00842FE5">
        <w:rPr>
          <w:rFonts w:ascii="Times New Roman" w:hAnsi="Times New Roman" w:cs="Times New Roman"/>
          <w:color w:val="0D0D0D" w:themeColor="text1" w:themeTint="F2"/>
          <w:sz w:val="24"/>
          <w:szCs w:val="24"/>
        </w:rPr>
        <w:t xml:space="preserve"> insulin glargine 300 units/mL; </w:t>
      </w:r>
      <w:r w:rsidRPr="00440635">
        <w:rPr>
          <w:rFonts w:ascii="Times New Roman" w:hAnsi="Times New Roman" w:cs="Times New Roman"/>
          <w:i/>
          <w:iCs/>
          <w:color w:val="0D0D0D" w:themeColor="text1" w:themeTint="F2"/>
          <w:sz w:val="24"/>
          <w:szCs w:val="24"/>
        </w:rPr>
        <w:t>GLP-1 RA</w:t>
      </w:r>
      <w:r w:rsidRPr="00842FE5">
        <w:rPr>
          <w:rFonts w:ascii="Times New Roman" w:hAnsi="Times New Roman" w:cs="Times New Roman"/>
          <w:color w:val="0D0D0D" w:themeColor="text1" w:themeTint="F2"/>
          <w:sz w:val="24"/>
          <w:szCs w:val="24"/>
        </w:rPr>
        <w:t xml:space="preserve"> glucagon-like peptide-1 receptor agonists; </w:t>
      </w:r>
      <w:r w:rsidRPr="00440635">
        <w:rPr>
          <w:rFonts w:ascii="Times New Roman" w:hAnsi="Times New Roman" w:cs="Times New Roman"/>
          <w:i/>
          <w:iCs/>
          <w:color w:val="0D0D0D" w:themeColor="text1" w:themeTint="F2"/>
          <w:sz w:val="24"/>
          <w:szCs w:val="24"/>
        </w:rPr>
        <w:t>NPH</w:t>
      </w:r>
      <w:r w:rsidRPr="00842FE5">
        <w:rPr>
          <w:rFonts w:ascii="Times New Roman" w:hAnsi="Times New Roman" w:cs="Times New Roman"/>
          <w:color w:val="0D0D0D" w:themeColor="text1" w:themeTint="F2"/>
          <w:sz w:val="24"/>
          <w:szCs w:val="24"/>
        </w:rPr>
        <w:t xml:space="preserve"> neutral protamine Hagedorn; </w:t>
      </w:r>
      <w:r w:rsidRPr="00440635">
        <w:rPr>
          <w:rFonts w:ascii="Times New Roman" w:hAnsi="Times New Roman" w:cs="Times New Roman"/>
          <w:i/>
          <w:iCs/>
          <w:color w:val="0D0D0D" w:themeColor="text1" w:themeTint="F2"/>
          <w:sz w:val="24"/>
          <w:szCs w:val="24"/>
        </w:rPr>
        <w:t>SGLT-2</w:t>
      </w:r>
      <w:r w:rsidRPr="00842FE5">
        <w:rPr>
          <w:rFonts w:ascii="Times New Roman" w:hAnsi="Times New Roman" w:cs="Times New Roman"/>
          <w:color w:val="0D0D0D" w:themeColor="text1" w:themeTint="F2"/>
          <w:sz w:val="24"/>
          <w:szCs w:val="24"/>
        </w:rPr>
        <w:t xml:space="preserve"> sodium-glucose co-transporter-2; </w:t>
      </w:r>
      <w:r w:rsidRPr="00440635">
        <w:rPr>
          <w:rFonts w:ascii="Times New Roman" w:hAnsi="Times New Roman" w:cs="Times New Roman"/>
          <w:i/>
          <w:iCs/>
          <w:color w:val="0D0D0D" w:themeColor="text1" w:themeTint="F2"/>
          <w:sz w:val="24"/>
          <w:szCs w:val="24"/>
        </w:rPr>
        <w:t>SU</w:t>
      </w:r>
      <w:r w:rsidRPr="00842FE5">
        <w:rPr>
          <w:rFonts w:ascii="Times New Roman" w:hAnsi="Times New Roman" w:cs="Times New Roman"/>
          <w:color w:val="0D0D0D" w:themeColor="text1" w:themeTint="F2"/>
          <w:sz w:val="24"/>
          <w:szCs w:val="24"/>
        </w:rPr>
        <w:t xml:space="preserve"> sulphonylurea</w:t>
      </w:r>
      <w:r w:rsidR="00F92680" w:rsidRPr="00842FE5">
        <w:rPr>
          <w:rFonts w:ascii="Times New Roman" w:hAnsi="Times New Roman" w:cs="Times New Roman"/>
          <w:color w:val="0D0D0D" w:themeColor="text1" w:themeTint="F2"/>
          <w:sz w:val="24"/>
          <w:szCs w:val="24"/>
        </w:rPr>
        <w:t>.</w:t>
      </w:r>
    </w:p>
    <w:p w14:paraId="70CFF593" w14:textId="77777777" w:rsidR="00730078" w:rsidRPr="00842FE5" w:rsidRDefault="00730078">
      <w:pPr>
        <w:rPr>
          <w:rFonts w:ascii="Times New Roman" w:hAnsi="Times New Roman" w:cs="Times New Roman"/>
          <w:b/>
          <w:bCs/>
          <w:color w:val="0D0D0D" w:themeColor="text1" w:themeTint="F2"/>
          <w:sz w:val="24"/>
          <w:szCs w:val="24"/>
        </w:rPr>
      </w:pPr>
      <w:r w:rsidRPr="00842FE5">
        <w:rPr>
          <w:rFonts w:ascii="Times New Roman" w:hAnsi="Times New Roman" w:cs="Times New Roman"/>
          <w:b/>
          <w:bCs/>
          <w:color w:val="0D0D0D" w:themeColor="text1" w:themeTint="F2"/>
          <w:sz w:val="24"/>
          <w:szCs w:val="24"/>
        </w:rPr>
        <w:br w:type="page"/>
      </w:r>
    </w:p>
    <w:p w14:paraId="5E9CA595" w14:textId="1A0FF252" w:rsidR="00B30C7E" w:rsidRPr="00842FE5" w:rsidRDefault="00B30C7E" w:rsidP="002515C6">
      <w:pPr>
        <w:rPr>
          <w:rFonts w:ascii="Times New Roman" w:hAnsi="Times New Roman" w:cs="Times New Roman"/>
          <w:b/>
          <w:bCs/>
          <w:color w:val="0D0D0D" w:themeColor="text1" w:themeTint="F2"/>
          <w:sz w:val="24"/>
          <w:szCs w:val="24"/>
        </w:rPr>
      </w:pPr>
      <w:r w:rsidRPr="00842FE5">
        <w:rPr>
          <w:rFonts w:ascii="Times New Roman" w:hAnsi="Times New Roman" w:cs="Times New Roman"/>
          <w:b/>
          <w:bCs/>
          <w:color w:val="0D0D0D" w:themeColor="text1" w:themeTint="F2"/>
          <w:sz w:val="24"/>
          <w:szCs w:val="24"/>
        </w:rPr>
        <w:lastRenderedPageBreak/>
        <w:t xml:space="preserve">Table </w:t>
      </w:r>
      <w:r w:rsidR="00CB5A26" w:rsidRPr="00842FE5">
        <w:rPr>
          <w:rFonts w:ascii="Times New Roman" w:hAnsi="Times New Roman" w:cs="Times New Roman"/>
          <w:b/>
          <w:bCs/>
          <w:color w:val="0D0D0D" w:themeColor="text1" w:themeTint="F2"/>
          <w:sz w:val="24"/>
          <w:szCs w:val="24"/>
        </w:rPr>
        <w:t>3</w:t>
      </w:r>
      <w:r w:rsidRPr="00842FE5">
        <w:rPr>
          <w:rFonts w:ascii="Times New Roman" w:hAnsi="Times New Roman" w:cs="Times New Roman"/>
          <w:b/>
          <w:bCs/>
          <w:color w:val="0D0D0D" w:themeColor="text1" w:themeTint="F2"/>
          <w:sz w:val="24"/>
          <w:szCs w:val="24"/>
        </w:rPr>
        <w:t xml:space="preserve">: </w:t>
      </w:r>
      <w:r w:rsidRPr="00842FE5">
        <w:rPr>
          <w:rFonts w:ascii="Times New Roman" w:hAnsi="Times New Roman" w:cs="Times New Roman"/>
          <w:color w:val="0D0D0D" w:themeColor="text1" w:themeTint="F2"/>
          <w:sz w:val="24"/>
          <w:szCs w:val="24"/>
        </w:rPr>
        <w:t xml:space="preserve">Hypoglycaemia events (Safety </w:t>
      </w:r>
      <w:r w:rsidR="00597D04" w:rsidRPr="00842FE5">
        <w:rPr>
          <w:rFonts w:ascii="Times New Roman" w:hAnsi="Times New Roman" w:cs="Times New Roman"/>
          <w:color w:val="0D0D0D" w:themeColor="text1" w:themeTint="F2"/>
          <w:sz w:val="24"/>
          <w:szCs w:val="24"/>
        </w:rPr>
        <w:t>p</w:t>
      </w:r>
      <w:r w:rsidRPr="00842FE5">
        <w:rPr>
          <w:rFonts w:ascii="Times New Roman" w:hAnsi="Times New Roman" w:cs="Times New Roman"/>
          <w:color w:val="0D0D0D" w:themeColor="text1" w:themeTint="F2"/>
          <w:sz w:val="24"/>
          <w:szCs w:val="24"/>
        </w:rPr>
        <w:t>opulation)</w:t>
      </w:r>
      <w:r w:rsidRPr="00842FE5">
        <w:rPr>
          <w:rFonts w:ascii="Times New Roman" w:hAnsi="Times New Roman" w:cs="Times New Roman"/>
          <w:b/>
          <w:bCs/>
          <w:color w:val="0D0D0D" w:themeColor="text1" w:themeTint="F2"/>
          <w:sz w:val="24"/>
          <w:szCs w:val="24"/>
        </w:rPr>
        <w:t xml:space="preserve"> </w:t>
      </w:r>
    </w:p>
    <w:tbl>
      <w:tblPr>
        <w:tblStyle w:val="TableGrid"/>
        <w:tblW w:w="0" w:type="auto"/>
        <w:tblInd w:w="360" w:type="dxa"/>
        <w:tblLook w:val="04A0" w:firstRow="1" w:lastRow="0" w:firstColumn="1" w:lastColumn="0" w:noHBand="0" w:noVBand="1"/>
      </w:tblPr>
      <w:tblGrid>
        <w:gridCol w:w="5022"/>
        <w:gridCol w:w="2410"/>
        <w:gridCol w:w="2524"/>
      </w:tblGrid>
      <w:tr w:rsidR="00842FE5" w:rsidRPr="00842FE5" w14:paraId="177B6B3C" w14:textId="77777777" w:rsidTr="00EB418C">
        <w:tc>
          <w:tcPr>
            <w:tcW w:w="5022" w:type="dxa"/>
            <w:vAlign w:val="center"/>
          </w:tcPr>
          <w:p w14:paraId="3A891DEB" w14:textId="77777777" w:rsidR="00B30C7E" w:rsidRPr="00842FE5" w:rsidRDefault="00B30C7E" w:rsidP="00EB418C">
            <w:pPr>
              <w:tabs>
                <w:tab w:val="left" w:pos="3441"/>
              </w:tabs>
              <w:rPr>
                <w:rFonts w:ascii="Times New Roman" w:hAnsi="Times New Roman" w:cs="Times New Roman"/>
                <w:b/>
                <w:bCs/>
                <w:color w:val="0D0D0D" w:themeColor="text1" w:themeTint="F2"/>
                <w:sz w:val="24"/>
                <w:szCs w:val="24"/>
              </w:rPr>
            </w:pPr>
            <w:r w:rsidRPr="00842FE5">
              <w:rPr>
                <w:rFonts w:ascii="Times New Roman" w:hAnsi="Times New Roman" w:cs="Times New Roman"/>
                <w:b/>
                <w:bCs/>
                <w:color w:val="0D0D0D" w:themeColor="text1" w:themeTint="F2"/>
                <w:kern w:val="24"/>
                <w:sz w:val="24"/>
                <w:szCs w:val="24"/>
              </w:rPr>
              <w:t>Type of hypoglycaemia event, n (%)</w:t>
            </w:r>
          </w:p>
        </w:tc>
        <w:tc>
          <w:tcPr>
            <w:tcW w:w="2410" w:type="dxa"/>
            <w:vAlign w:val="center"/>
          </w:tcPr>
          <w:p w14:paraId="394DA394" w14:textId="77777777" w:rsidR="00B30C7E" w:rsidRPr="00842FE5" w:rsidRDefault="00B30C7E" w:rsidP="00EB418C">
            <w:pPr>
              <w:pStyle w:val="NormalWeb"/>
              <w:spacing w:before="0" w:beforeAutospacing="0" w:after="0" w:afterAutospacing="0"/>
              <w:jc w:val="center"/>
              <w:rPr>
                <w:color w:val="0D0D0D" w:themeColor="text1" w:themeTint="F2"/>
              </w:rPr>
            </w:pPr>
            <w:r w:rsidRPr="00842FE5">
              <w:rPr>
                <w:b/>
                <w:bCs/>
                <w:color w:val="0D0D0D" w:themeColor="text1" w:themeTint="F2"/>
                <w:kern w:val="24"/>
              </w:rPr>
              <w:t>All</w:t>
            </w:r>
          </w:p>
          <w:p w14:paraId="72892B1F" w14:textId="77777777" w:rsidR="00B30C7E" w:rsidRPr="00842FE5" w:rsidRDefault="00B30C7E" w:rsidP="00EB418C">
            <w:pPr>
              <w:pStyle w:val="NormalWeb"/>
              <w:spacing w:before="0" w:beforeAutospacing="0" w:after="0" w:afterAutospacing="0"/>
              <w:jc w:val="center"/>
              <w:rPr>
                <w:color w:val="0D0D0D" w:themeColor="text1" w:themeTint="F2"/>
              </w:rPr>
            </w:pPr>
            <w:r w:rsidRPr="00842FE5">
              <w:rPr>
                <w:b/>
                <w:bCs/>
                <w:color w:val="0D0D0D" w:themeColor="text1" w:themeTint="F2"/>
                <w:kern w:val="24"/>
              </w:rPr>
              <w:t>hypoglycaemia</w:t>
            </w:r>
          </w:p>
          <w:p w14:paraId="1348339C" w14:textId="77777777" w:rsidR="00B30C7E" w:rsidRPr="00842FE5" w:rsidRDefault="00B30C7E" w:rsidP="00EB418C">
            <w:pPr>
              <w:tabs>
                <w:tab w:val="left" w:pos="3441"/>
              </w:tabs>
              <w:jc w:val="center"/>
              <w:rPr>
                <w:rFonts w:ascii="Times New Roman" w:hAnsi="Times New Roman" w:cs="Times New Roman"/>
                <w:b/>
                <w:bCs/>
                <w:color w:val="0D0D0D" w:themeColor="text1" w:themeTint="F2"/>
                <w:sz w:val="24"/>
                <w:szCs w:val="24"/>
              </w:rPr>
            </w:pPr>
            <w:r w:rsidRPr="00842FE5">
              <w:rPr>
                <w:rFonts w:ascii="Times New Roman" w:hAnsi="Times New Roman" w:cs="Times New Roman"/>
                <w:b/>
                <w:bCs/>
                <w:color w:val="0D0D0D" w:themeColor="text1" w:themeTint="F2"/>
                <w:kern w:val="24"/>
                <w:sz w:val="24"/>
                <w:szCs w:val="24"/>
              </w:rPr>
              <w:t>(N=372)</w:t>
            </w:r>
          </w:p>
        </w:tc>
        <w:tc>
          <w:tcPr>
            <w:tcW w:w="2524" w:type="dxa"/>
            <w:vAlign w:val="center"/>
          </w:tcPr>
          <w:p w14:paraId="53F09826" w14:textId="77777777" w:rsidR="00B30C7E" w:rsidRPr="00842FE5" w:rsidRDefault="00B30C7E" w:rsidP="00EB418C">
            <w:pPr>
              <w:pStyle w:val="NormalWeb"/>
              <w:spacing w:before="0" w:beforeAutospacing="0" w:after="0" w:afterAutospacing="0"/>
              <w:jc w:val="center"/>
              <w:rPr>
                <w:color w:val="0D0D0D" w:themeColor="text1" w:themeTint="F2"/>
              </w:rPr>
            </w:pPr>
            <w:r w:rsidRPr="00842FE5">
              <w:rPr>
                <w:b/>
                <w:bCs/>
                <w:color w:val="0D0D0D" w:themeColor="text1" w:themeTint="F2"/>
                <w:kern w:val="24"/>
              </w:rPr>
              <w:t>Nocturnal</w:t>
            </w:r>
          </w:p>
          <w:p w14:paraId="5009D7A6" w14:textId="77777777" w:rsidR="00B30C7E" w:rsidRPr="00842FE5" w:rsidRDefault="00B30C7E" w:rsidP="00EB418C">
            <w:pPr>
              <w:pStyle w:val="NormalWeb"/>
              <w:spacing w:before="0" w:beforeAutospacing="0" w:after="0" w:afterAutospacing="0"/>
              <w:jc w:val="center"/>
              <w:rPr>
                <w:color w:val="0D0D0D" w:themeColor="text1" w:themeTint="F2"/>
              </w:rPr>
            </w:pPr>
            <w:r w:rsidRPr="00842FE5">
              <w:rPr>
                <w:b/>
                <w:bCs/>
                <w:color w:val="0D0D0D" w:themeColor="text1" w:themeTint="F2"/>
                <w:kern w:val="24"/>
              </w:rPr>
              <w:t>hypoglycaemia</w:t>
            </w:r>
            <w:r w:rsidRPr="00842FE5">
              <w:rPr>
                <w:b/>
                <w:bCs/>
                <w:color w:val="0D0D0D" w:themeColor="text1" w:themeTint="F2"/>
                <w:kern w:val="24"/>
                <w:position w:val="7"/>
                <w:vertAlign w:val="superscript"/>
              </w:rPr>
              <w:t>a</w:t>
            </w:r>
          </w:p>
          <w:p w14:paraId="24A2E016" w14:textId="77777777" w:rsidR="00B30C7E" w:rsidRPr="00842FE5" w:rsidRDefault="00B30C7E" w:rsidP="00EB418C">
            <w:pPr>
              <w:tabs>
                <w:tab w:val="left" w:pos="3441"/>
              </w:tabs>
              <w:jc w:val="center"/>
              <w:rPr>
                <w:rFonts w:ascii="Times New Roman" w:hAnsi="Times New Roman" w:cs="Times New Roman"/>
                <w:b/>
                <w:bCs/>
                <w:color w:val="0D0D0D" w:themeColor="text1" w:themeTint="F2"/>
                <w:sz w:val="24"/>
                <w:szCs w:val="24"/>
              </w:rPr>
            </w:pPr>
            <w:r w:rsidRPr="00842FE5">
              <w:rPr>
                <w:rFonts w:ascii="Times New Roman" w:hAnsi="Times New Roman" w:cs="Times New Roman"/>
                <w:b/>
                <w:bCs/>
                <w:color w:val="0D0D0D" w:themeColor="text1" w:themeTint="F2"/>
                <w:kern w:val="24"/>
                <w:sz w:val="24"/>
                <w:szCs w:val="24"/>
              </w:rPr>
              <w:t>(N=372)</w:t>
            </w:r>
          </w:p>
        </w:tc>
      </w:tr>
      <w:tr w:rsidR="00842FE5" w:rsidRPr="00842FE5" w14:paraId="6B205C57" w14:textId="77777777" w:rsidTr="00EB418C">
        <w:tc>
          <w:tcPr>
            <w:tcW w:w="5022" w:type="dxa"/>
            <w:vAlign w:val="center"/>
          </w:tcPr>
          <w:p w14:paraId="74CD9BF5" w14:textId="77777777" w:rsidR="00B30C7E" w:rsidRPr="00842FE5" w:rsidRDefault="00B30C7E" w:rsidP="00EB418C">
            <w:pPr>
              <w:tabs>
                <w:tab w:val="left" w:pos="3441"/>
              </w:tabs>
              <w:rPr>
                <w:rFonts w:ascii="Times New Roman" w:hAnsi="Times New Roman" w:cs="Times New Roman"/>
                <w:b/>
                <w:bCs/>
                <w:color w:val="0D0D0D" w:themeColor="text1" w:themeTint="F2"/>
                <w:sz w:val="24"/>
                <w:szCs w:val="24"/>
              </w:rPr>
            </w:pPr>
            <w:r w:rsidRPr="00842FE5">
              <w:rPr>
                <w:rFonts w:ascii="Times New Roman" w:hAnsi="Times New Roman" w:cs="Times New Roman"/>
                <w:color w:val="0D0D0D" w:themeColor="text1" w:themeTint="F2"/>
                <w:kern w:val="24"/>
                <w:sz w:val="24"/>
                <w:szCs w:val="24"/>
              </w:rPr>
              <w:t>Any hypoglycaemia event</w:t>
            </w:r>
          </w:p>
        </w:tc>
        <w:tc>
          <w:tcPr>
            <w:tcW w:w="2410" w:type="dxa"/>
            <w:vAlign w:val="center"/>
          </w:tcPr>
          <w:p w14:paraId="0EE50AEE" w14:textId="77777777" w:rsidR="00B30C7E" w:rsidRPr="00842FE5" w:rsidRDefault="00B30C7E" w:rsidP="00EB418C">
            <w:pPr>
              <w:tabs>
                <w:tab w:val="left" w:pos="3441"/>
              </w:tabs>
              <w:jc w:val="center"/>
              <w:rPr>
                <w:rFonts w:ascii="Times New Roman" w:hAnsi="Times New Roman" w:cs="Times New Roman"/>
                <w:b/>
                <w:bCs/>
                <w:color w:val="0D0D0D" w:themeColor="text1" w:themeTint="F2"/>
                <w:sz w:val="24"/>
                <w:szCs w:val="24"/>
              </w:rPr>
            </w:pPr>
            <w:r w:rsidRPr="00842FE5">
              <w:rPr>
                <w:rFonts w:ascii="Times New Roman" w:hAnsi="Times New Roman" w:cs="Times New Roman"/>
                <w:color w:val="0D0D0D" w:themeColor="text1" w:themeTint="F2"/>
                <w:kern w:val="24"/>
                <w:sz w:val="24"/>
                <w:szCs w:val="24"/>
              </w:rPr>
              <w:t>76 (20.4)</w:t>
            </w:r>
          </w:p>
        </w:tc>
        <w:tc>
          <w:tcPr>
            <w:tcW w:w="2524" w:type="dxa"/>
            <w:vAlign w:val="center"/>
          </w:tcPr>
          <w:p w14:paraId="03E108EF" w14:textId="77777777" w:rsidR="00B30C7E" w:rsidRPr="00842FE5" w:rsidRDefault="00B30C7E" w:rsidP="00EB418C">
            <w:pPr>
              <w:tabs>
                <w:tab w:val="left" w:pos="3441"/>
              </w:tabs>
              <w:jc w:val="center"/>
              <w:rPr>
                <w:rFonts w:ascii="Times New Roman" w:hAnsi="Times New Roman" w:cs="Times New Roman"/>
                <w:b/>
                <w:bCs/>
                <w:color w:val="0D0D0D" w:themeColor="text1" w:themeTint="F2"/>
                <w:sz w:val="24"/>
                <w:szCs w:val="24"/>
              </w:rPr>
            </w:pPr>
            <w:r w:rsidRPr="00842FE5">
              <w:rPr>
                <w:rFonts w:ascii="Times New Roman" w:hAnsi="Times New Roman" w:cs="Times New Roman"/>
                <w:color w:val="0D0D0D" w:themeColor="text1" w:themeTint="F2"/>
                <w:kern w:val="24"/>
                <w:sz w:val="24"/>
                <w:szCs w:val="24"/>
              </w:rPr>
              <w:t>35 (9.4)</w:t>
            </w:r>
          </w:p>
        </w:tc>
      </w:tr>
      <w:tr w:rsidR="00842FE5" w:rsidRPr="00842FE5" w14:paraId="73F2ECDA" w14:textId="77777777" w:rsidTr="00EB418C">
        <w:tc>
          <w:tcPr>
            <w:tcW w:w="5022" w:type="dxa"/>
            <w:vAlign w:val="center"/>
          </w:tcPr>
          <w:p w14:paraId="53835331" w14:textId="77777777" w:rsidR="00B30C7E" w:rsidRPr="00842FE5" w:rsidRDefault="00B30C7E" w:rsidP="00EB418C">
            <w:pPr>
              <w:tabs>
                <w:tab w:val="left" w:pos="3441"/>
              </w:tabs>
              <w:rPr>
                <w:rFonts w:ascii="Times New Roman" w:hAnsi="Times New Roman" w:cs="Times New Roman"/>
                <w:b/>
                <w:bCs/>
                <w:color w:val="0D0D0D" w:themeColor="text1" w:themeTint="F2"/>
                <w:sz w:val="24"/>
                <w:szCs w:val="24"/>
              </w:rPr>
            </w:pPr>
            <w:r w:rsidRPr="00842FE5">
              <w:rPr>
                <w:rFonts w:ascii="Times New Roman" w:hAnsi="Times New Roman" w:cs="Times New Roman"/>
                <w:color w:val="0D0D0D" w:themeColor="text1" w:themeTint="F2"/>
                <w:kern w:val="24"/>
                <w:sz w:val="24"/>
                <w:szCs w:val="24"/>
              </w:rPr>
              <w:t>Severe hypoglycaemia</w:t>
            </w:r>
            <w:r w:rsidRPr="00842FE5">
              <w:rPr>
                <w:rFonts w:ascii="Times New Roman" w:hAnsi="Times New Roman" w:cs="Times New Roman"/>
                <w:color w:val="0D0D0D" w:themeColor="text1" w:themeTint="F2"/>
                <w:kern w:val="24"/>
                <w:position w:val="7"/>
                <w:sz w:val="24"/>
                <w:szCs w:val="24"/>
                <w:vertAlign w:val="superscript"/>
              </w:rPr>
              <w:t>b</w:t>
            </w:r>
          </w:p>
        </w:tc>
        <w:tc>
          <w:tcPr>
            <w:tcW w:w="2410" w:type="dxa"/>
            <w:vAlign w:val="center"/>
          </w:tcPr>
          <w:p w14:paraId="701B53B1" w14:textId="77777777" w:rsidR="00B30C7E" w:rsidRPr="00842FE5" w:rsidRDefault="00B30C7E" w:rsidP="00EB418C">
            <w:pPr>
              <w:tabs>
                <w:tab w:val="left" w:pos="3441"/>
              </w:tabs>
              <w:jc w:val="center"/>
              <w:rPr>
                <w:rFonts w:ascii="Times New Roman" w:hAnsi="Times New Roman" w:cs="Times New Roman"/>
                <w:b/>
                <w:bCs/>
                <w:color w:val="0D0D0D" w:themeColor="text1" w:themeTint="F2"/>
                <w:sz w:val="24"/>
                <w:szCs w:val="24"/>
              </w:rPr>
            </w:pPr>
            <w:r w:rsidRPr="00842FE5">
              <w:rPr>
                <w:rFonts w:ascii="Times New Roman" w:hAnsi="Times New Roman" w:cs="Times New Roman"/>
                <w:color w:val="0D0D0D" w:themeColor="text1" w:themeTint="F2"/>
                <w:kern w:val="24"/>
                <w:sz w:val="24"/>
                <w:szCs w:val="24"/>
              </w:rPr>
              <w:t>1 (0.3)</w:t>
            </w:r>
          </w:p>
        </w:tc>
        <w:tc>
          <w:tcPr>
            <w:tcW w:w="2524" w:type="dxa"/>
            <w:vAlign w:val="center"/>
          </w:tcPr>
          <w:p w14:paraId="6366A5C9" w14:textId="77777777" w:rsidR="00B30C7E" w:rsidRPr="00842FE5" w:rsidRDefault="00B30C7E" w:rsidP="00EB418C">
            <w:pPr>
              <w:tabs>
                <w:tab w:val="left" w:pos="3441"/>
              </w:tabs>
              <w:jc w:val="center"/>
              <w:rPr>
                <w:rFonts w:ascii="Times New Roman" w:hAnsi="Times New Roman" w:cs="Times New Roman"/>
                <w:b/>
                <w:bCs/>
                <w:color w:val="0D0D0D" w:themeColor="text1" w:themeTint="F2"/>
                <w:sz w:val="24"/>
                <w:szCs w:val="24"/>
              </w:rPr>
            </w:pPr>
            <w:r w:rsidRPr="00842FE5">
              <w:rPr>
                <w:rFonts w:ascii="Times New Roman" w:hAnsi="Times New Roman" w:cs="Times New Roman"/>
                <w:color w:val="0D0D0D" w:themeColor="text1" w:themeTint="F2"/>
                <w:kern w:val="24"/>
                <w:sz w:val="24"/>
                <w:szCs w:val="24"/>
              </w:rPr>
              <w:t>1 (0.3)</w:t>
            </w:r>
          </w:p>
        </w:tc>
      </w:tr>
      <w:tr w:rsidR="00842FE5" w:rsidRPr="00842FE5" w14:paraId="254D6AB6" w14:textId="77777777" w:rsidTr="00EB418C">
        <w:tc>
          <w:tcPr>
            <w:tcW w:w="5022" w:type="dxa"/>
            <w:vAlign w:val="center"/>
          </w:tcPr>
          <w:p w14:paraId="4975696C" w14:textId="77777777" w:rsidR="00B30C7E" w:rsidRPr="00842FE5" w:rsidRDefault="00B30C7E" w:rsidP="00EB418C">
            <w:pPr>
              <w:pStyle w:val="NormalWeb"/>
              <w:spacing w:before="0" w:beforeAutospacing="0" w:after="0" w:afterAutospacing="0"/>
              <w:rPr>
                <w:color w:val="0D0D0D" w:themeColor="text1" w:themeTint="F2"/>
              </w:rPr>
            </w:pPr>
            <w:r w:rsidRPr="00842FE5">
              <w:rPr>
                <w:color w:val="0D0D0D" w:themeColor="text1" w:themeTint="F2"/>
                <w:kern w:val="24"/>
              </w:rPr>
              <w:t>Symptomatic hypoglycaemia</w:t>
            </w:r>
          </w:p>
          <w:p w14:paraId="385A2263" w14:textId="77777777" w:rsidR="00B30C7E" w:rsidRPr="00842FE5" w:rsidRDefault="00B30C7E" w:rsidP="00EB418C">
            <w:pPr>
              <w:pStyle w:val="NormalWeb"/>
              <w:spacing w:before="0" w:beforeAutospacing="0" w:after="0" w:afterAutospacing="0"/>
              <w:ind w:firstLine="374"/>
              <w:rPr>
                <w:color w:val="0D0D0D" w:themeColor="text1" w:themeTint="F2"/>
              </w:rPr>
            </w:pPr>
            <w:r w:rsidRPr="00842FE5">
              <w:rPr>
                <w:color w:val="0D0D0D" w:themeColor="text1" w:themeTint="F2"/>
                <w:kern w:val="24"/>
              </w:rPr>
              <w:t>Documented ≤3.9 mmol/L (≤70 mg/dL)</w:t>
            </w:r>
          </w:p>
          <w:p w14:paraId="74E5F4BF" w14:textId="2BC702F2" w:rsidR="00B30C7E" w:rsidRPr="00842FE5" w:rsidRDefault="00B30C7E" w:rsidP="00EB418C">
            <w:pPr>
              <w:tabs>
                <w:tab w:val="left" w:pos="3441"/>
              </w:tabs>
              <w:ind w:firstLine="371"/>
              <w:rPr>
                <w:rFonts w:ascii="Times New Roman" w:hAnsi="Times New Roman" w:cs="Times New Roman"/>
                <w:b/>
                <w:bCs/>
                <w:color w:val="0D0D0D" w:themeColor="text1" w:themeTint="F2"/>
                <w:sz w:val="24"/>
                <w:szCs w:val="24"/>
              </w:rPr>
            </w:pPr>
            <w:r w:rsidRPr="00842FE5">
              <w:rPr>
                <w:rFonts w:ascii="Times New Roman" w:hAnsi="Times New Roman" w:cs="Times New Roman"/>
                <w:color w:val="0D0D0D" w:themeColor="text1" w:themeTint="F2"/>
                <w:kern w:val="24"/>
                <w:sz w:val="24"/>
                <w:szCs w:val="24"/>
              </w:rPr>
              <w:t>Documented ˂3.0 mmol/L (&lt;54 mg/dL)</w:t>
            </w:r>
            <w:r w:rsidRPr="00842FE5">
              <w:rPr>
                <w:rFonts w:ascii="Times New Roman" w:hAnsi="Times New Roman" w:cs="Times New Roman"/>
                <w:color w:val="0D0D0D" w:themeColor="text1" w:themeTint="F2"/>
                <w:kern w:val="24"/>
                <w:position w:val="7"/>
                <w:sz w:val="24"/>
                <w:szCs w:val="24"/>
                <w:vertAlign w:val="superscript"/>
              </w:rPr>
              <w:t xml:space="preserve"> </w:t>
            </w:r>
          </w:p>
        </w:tc>
        <w:tc>
          <w:tcPr>
            <w:tcW w:w="2410" w:type="dxa"/>
            <w:vAlign w:val="center"/>
          </w:tcPr>
          <w:p w14:paraId="34EB39D9" w14:textId="77777777" w:rsidR="00B30C7E" w:rsidRPr="00842FE5" w:rsidRDefault="00B30C7E" w:rsidP="00EB418C">
            <w:pPr>
              <w:pStyle w:val="NormalWeb"/>
              <w:spacing w:before="0" w:beforeAutospacing="0" w:after="0" w:afterAutospacing="0"/>
              <w:jc w:val="center"/>
              <w:rPr>
                <w:color w:val="0D0D0D" w:themeColor="text1" w:themeTint="F2"/>
              </w:rPr>
            </w:pPr>
            <w:r w:rsidRPr="00842FE5">
              <w:rPr>
                <w:color w:val="0D0D0D" w:themeColor="text1" w:themeTint="F2"/>
                <w:kern w:val="24"/>
              </w:rPr>
              <w:t>55 (14.8)</w:t>
            </w:r>
          </w:p>
          <w:p w14:paraId="3F171A6A" w14:textId="77777777" w:rsidR="00B30C7E" w:rsidRPr="00842FE5" w:rsidRDefault="00B30C7E" w:rsidP="00EB418C">
            <w:pPr>
              <w:pStyle w:val="NormalWeb"/>
              <w:spacing w:before="0" w:beforeAutospacing="0" w:after="0" w:afterAutospacing="0"/>
              <w:jc w:val="center"/>
              <w:rPr>
                <w:color w:val="0D0D0D" w:themeColor="text1" w:themeTint="F2"/>
              </w:rPr>
            </w:pPr>
            <w:r w:rsidRPr="00842FE5">
              <w:rPr>
                <w:color w:val="0D0D0D" w:themeColor="text1" w:themeTint="F2"/>
                <w:kern w:val="24"/>
              </w:rPr>
              <w:t>47 (12.6)</w:t>
            </w:r>
          </w:p>
          <w:p w14:paraId="745D3384" w14:textId="77777777" w:rsidR="00B30C7E" w:rsidRPr="00842FE5" w:rsidRDefault="00B30C7E" w:rsidP="00EB418C">
            <w:pPr>
              <w:tabs>
                <w:tab w:val="left" w:pos="3441"/>
              </w:tabs>
              <w:jc w:val="center"/>
              <w:rPr>
                <w:rFonts w:ascii="Times New Roman" w:hAnsi="Times New Roman" w:cs="Times New Roman"/>
                <w:b/>
                <w:bCs/>
                <w:color w:val="0D0D0D" w:themeColor="text1" w:themeTint="F2"/>
                <w:sz w:val="24"/>
                <w:szCs w:val="24"/>
              </w:rPr>
            </w:pPr>
            <w:r w:rsidRPr="00842FE5">
              <w:rPr>
                <w:rFonts w:ascii="Times New Roman" w:hAnsi="Times New Roman" w:cs="Times New Roman"/>
                <w:color w:val="0D0D0D" w:themeColor="text1" w:themeTint="F2"/>
                <w:kern w:val="24"/>
                <w:sz w:val="24"/>
                <w:szCs w:val="24"/>
              </w:rPr>
              <w:t>14 (3.8)</w:t>
            </w:r>
          </w:p>
        </w:tc>
        <w:tc>
          <w:tcPr>
            <w:tcW w:w="2524" w:type="dxa"/>
            <w:vAlign w:val="center"/>
          </w:tcPr>
          <w:p w14:paraId="368E3515" w14:textId="77777777" w:rsidR="00B30C7E" w:rsidRPr="00842FE5" w:rsidRDefault="00B30C7E" w:rsidP="00EB418C">
            <w:pPr>
              <w:pStyle w:val="NormalWeb"/>
              <w:spacing w:before="0" w:beforeAutospacing="0" w:after="0" w:afterAutospacing="0"/>
              <w:jc w:val="center"/>
              <w:rPr>
                <w:color w:val="0D0D0D" w:themeColor="text1" w:themeTint="F2"/>
              </w:rPr>
            </w:pPr>
            <w:r w:rsidRPr="00842FE5">
              <w:rPr>
                <w:color w:val="0D0D0D" w:themeColor="text1" w:themeTint="F2"/>
                <w:kern w:val="24"/>
              </w:rPr>
              <w:t>26 (7.0)</w:t>
            </w:r>
          </w:p>
          <w:p w14:paraId="0897304A" w14:textId="77777777" w:rsidR="00B30C7E" w:rsidRPr="00842FE5" w:rsidRDefault="00B30C7E" w:rsidP="00EB418C">
            <w:pPr>
              <w:pStyle w:val="NormalWeb"/>
              <w:spacing w:before="0" w:beforeAutospacing="0" w:after="0" w:afterAutospacing="0"/>
              <w:jc w:val="center"/>
              <w:rPr>
                <w:color w:val="0D0D0D" w:themeColor="text1" w:themeTint="F2"/>
              </w:rPr>
            </w:pPr>
            <w:r w:rsidRPr="00842FE5">
              <w:rPr>
                <w:color w:val="0D0D0D" w:themeColor="text1" w:themeTint="F2"/>
                <w:kern w:val="24"/>
              </w:rPr>
              <w:t>22 (5.9)</w:t>
            </w:r>
          </w:p>
          <w:p w14:paraId="2B242934" w14:textId="77777777" w:rsidR="00B30C7E" w:rsidRPr="00842FE5" w:rsidRDefault="00B30C7E" w:rsidP="00EB418C">
            <w:pPr>
              <w:tabs>
                <w:tab w:val="left" w:pos="3441"/>
              </w:tabs>
              <w:jc w:val="center"/>
              <w:rPr>
                <w:rFonts w:ascii="Times New Roman" w:hAnsi="Times New Roman" w:cs="Times New Roman"/>
                <w:b/>
                <w:bCs/>
                <w:color w:val="0D0D0D" w:themeColor="text1" w:themeTint="F2"/>
                <w:sz w:val="24"/>
                <w:szCs w:val="24"/>
              </w:rPr>
            </w:pPr>
            <w:r w:rsidRPr="00842FE5">
              <w:rPr>
                <w:rFonts w:ascii="Times New Roman" w:hAnsi="Times New Roman" w:cs="Times New Roman"/>
                <w:color w:val="0D0D0D" w:themeColor="text1" w:themeTint="F2"/>
                <w:kern w:val="24"/>
                <w:sz w:val="24"/>
                <w:szCs w:val="24"/>
              </w:rPr>
              <w:t>2 (0.5)</w:t>
            </w:r>
          </w:p>
        </w:tc>
      </w:tr>
      <w:tr w:rsidR="00842FE5" w:rsidRPr="00842FE5" w14:paraId="4854D974" w14:textId="77777777" w:rsidTr="00EB418C">
        <w:tc>
          <w:tcPr>
            <w:tcW w:w="5022" w:type="dxa"/>
            <w:vAlign w:val="center"/>
          </w:tcPr>
          <w:p w14:paraId="26039226" w14:textId="77777777" w:rsidR="00B30C7E" w:rsidRPr="00842FE5" w:rsidRDefault="00B30C7E" w:rsidP="00EB418C">
            <w:pPr>
              <w:pStyle w:val="NormalWeb"/>
              <w:spacing w:before="0" w:beforeAutospacing="0" w:after="0" w:afterAutospacing="0"/>
              <w:rPr>
                <w:color w:val="0D0D0D" w:themeColor="text1" w:themeTint="F2"/>
              </w:rPr>
            </w:pPr>
            <w:r w:rsidRPr="00842FE5">
              <w:rPr>
                <w:color w:val="0D0D0D" w:themeColor="text1" w:themeTint="F2"/>
                <w:kern w:val="24"/>
              </w:rPr>
              <w:t>Severe and/or symptomatic hypoglycaemia</w:t>
            </w:r>
          </w:p>
          <w:p w14:paraId="720A80F6" w14:textId="77777777" w:rsidR="00B30C7E" w:rsidRPr="00842FE5" w:rsidRDefault="00B30C7E" w:rsidP="00EB418C">
            <w:pPr>
              <w:pStyle w:val="NormalWeb"/>
              <w:spacing w:before="0" w:beforeAutospacing="0" w:after="0" w:afterAutospacing="0"/>
              <w:ind w:firstLine="374"/>
              <w:rPr>
                <w:color w:val="0D0D0D" w:themeColor="text1" w:themeTint="F2"/>
              </w:rPr>
            </w:pPr>
            <w:r w:rsidRPr="00842FE5">
              <w:rPr>
                <w:color w:val="0D0D0D" w:themeColor="text1" w:themeTint="F2"/>
                <w:kern w:val="24"/>
              </w:rPr>
              <w:t>Documented ≤3.9 mmol/L (≤70 mg/dL)</w:t>
            </w:r>
          </w:p>
          <w:p w14:paraId="1802504F" w14:textId="5D4F869A" w:rsidR="00B30C7E" w:rsidRPr="00842FE5" w:rsidRDefault="00B30C7E" w:rsidP="00EB418C">
            <w:pPr>
              <w:tabs>
                <w:tab w:val="left" w:pos="3441"/>
              </w:tabs>
              <w:ind w:firstLine="371"/>
              <w:rPr>
                <w:rFonts w:ascii="Times New Roman" w:hAnsi="Times New Roman" w:cs="Times New Roman"/>
                <w:b/>
                <w:bCs/>
                <w:color w:val="0D0D0D" w:themeColor="text1" w:themeTint="F2"/>
                <w:sz w:val="24"/>
                <w:szCs w:val="24"/>
                <w:lang w:val="fr-FR"/>
              </w:rPr>
            </w:pPr>
            <w:r w:rsidRPr="00842FE5">
              <w:rPr>
                <w:rFonts w:ascii="Times New Roman" w:hAnsi="Times New Roman" w:cs="Times New Roman"/>
                <w:color w:val="0D0D0D" w:themeColor="text1" w:themeTint="F2"/>
                <w:kern w:val="24"/>
                <w:sz w:val="24"/>
                <w:szCs w:val="24"/>
                <w:lang w:val="fr-FR"/>
              </w:rPr>
              <w:t>Documented ˂3.0 mmol/L (&lt;54 mg/dL)</w:t>
            </w:r>
          </w:p>
        </w:tc>
        <w:tc>
          <w:tcPr>
            <w:tcW w:w="2410" w:type="dxa"/>
            <w:vAlign w:val="center"/>
          </w:tcPr>
          <w:p w14:paraId="2BCFB2C1" w14:textId="77777777" w:rsidR="00B30C7E" w:rsidRPr="00842FE5" w:rsidRDefault="00B30C7E" w:rsidP="00EB418C">
            <w:pPr>
              <w:pStyle w:val="NormalWeb"/>
              <w:spacing w:before="0" w:beforeAutospacing="0" w:after="0" w:afterAutospacing="0"/>
              <w:jc w:val="center"/>
              <w:rPr>
                <w:color w:val="0D0D0D" w:themeColor="text1" w:themeTint="F2"/>
              </w:rPr>
            </w:pPr>
            <w:r w:rsidRPr="00842FE5">
              <w:rPr>
                <w:color w:val="0D0D0D" w:themeColor="text1" w:themeTint="F2"/>
                <w:kern w:val="24"/>
              </w:rPr>
              <w:t>55 (14.8)</w:t>
            </w:r>
          </w:p>
          <w:p w14:paraId="5A095799" w14:textId="77777777" w:rsidR="00B30C7E" w:rsidRPr="00842FE5" w:rsidRDefault="00B30C7E" w:rsidP="00EB418C">
            <w:pPr>
              <w:pStyle w:val="NormalWeb"/>
              <w:spacing w:before="0" w:beforeAutospacing="0" w:after="0" w:afterAutospacing="0"/>
              <w:jc w:val="center"/>
              <w:rPr>
                <w:color w:val="0D0D0D" w:themeColor="text1" w:themeTint="F2"/>
              </w:rPr>
            </w:pPr>
            <w:r w:rsidRPr="00842FE5">
              <w:rPr>
                <w:color w:val="0D0D0D" w:themeColor="text1" w:themeTint="F2"/>
                <w:kern w:val="24"/>
              </w:rPr>
              <w:t>47 (12.6)</w:t>
            </w:r>
          </w:p>
          <w:p w14:paraId="33727F58" w14:textId="77777777" w:rsidR="00B30C7E" w:rsidRPr="00842FE5" w:rsidRDefault="00B30C7E" w:rsidP="00EB418C">
            <w:pPr>
              <w:tabs>
                <w:tab w:val="left" w:pos="3441"/>
              </w:tabs>
              <w:jc w:val="center"/>
              <w:rPr>
                <w:rFonts w:ascii="Times New Roman" w:hAnsi="Times New Roman" w:cs="Times New Roman"/>
                <w:b/>
                <w:bCs/>
                <w:color w:val="0D0D0D" w:themeColor="text1" w:themeTint="F2"/>
                <w:sz w:val="24"/>
                <w:szCs w:val="24"/>
              </w:rPr>
            </w:pPr>
            <w:r w:rsidRPr="00842FE5">
              <w:rPr>
                <w:rFonts w:ascii="Times New Roman" w:hAnsi="Times New Roman" w:cs="Times New Roman"/>
                <w:color w:val="0D0D0D" w:themeColor="text1" w:themeTint="F2"/>
                <w:kern w:val="24"/>
                <w:sz w:val="24"/>
                <w:szCs w:val="24"/>
              </w:rPr>
              <w:t>14 (3.8)</w:t>
            </w:r>
          </w:p>
        </w:tc>
        <w:tc>
          <w:tcPr>
            <w:tcW w:w="2524" w:type="dxa"/>
            <w:vAlign w:val="center"/>
          </w:tcPr>
          <w:p w14:paraId="4A8C28FC" w14:textId="77777777" w:rsidR="00B30C7E" w:rsidRPr="00842FE5" w:rsidRDefault="00B30C7E" w:rsidP="00EB418C">
            <w:pPr>
              <w:pStyle w:val="NormalWeb"/>
              <w:spacing w:before="0" w:beforeAutospacing="0" w:after="0" w:afterAutospacing="0"/>
              <w:jc w:val="center"/>
              <w:rPr>
                <w:color w:val="0D0D0D" w:themeColor="text1" w:themeTint="F2"/>
              </w:rPr>
            </w:pPr>
            <w:r w:rsidRPr="00842FE5">
              <w:rPr>
                <w:color w:val="0D0D0D" w:themeColor="text1" w:themeTint="F2"/>
                <w:kern w:val="24"/>
              </w:rPr>
              <w:t>26 (7.0)</w:t>
            </w:r>
          </w:p>
          <w:p w14:paraId="7E0D3977" w14:textId="77777777" w:rsidR="00B30C7E" w:rsidRPr="00842FE5" w:rsidRDefault="00B30C7E" w:rsidP="00EB418C">
            <w:pPr>
              <w:pStyle w:val="NormalWeb"/>
              <w:spacing w:before="0" w:beforeAutospacing="0" w:after="0" w:afterAutospacing="0"/>
              <w:jc w:val="center"/>
              <w:rPr>
                <w:color w:val="0D0D0D" w:themeColor="text1" w:themeTint="F2"/>
              </w:rPr>
            </w:pPr>
            <w:r w:rsidRPr="00842FE5">
              <w:rPr>
                <w:color w:val="0D0D0D" w:themeColor="text1" w:themeTint="F2"/>
                <w:kern w:val="24"/>
              </w:rPr>
              <w:t>22 (5.9)</w:t>
            </w:r>
          </w:p>
          <w:p w14:paraId="5C6275FA" w14:textId="77777777" w:rsidR="00B30C7E" w:rsidRPr="00842FE5" w:rsidRDefault="00B30C7E" w:rsidP="00EB418C">
            <w:pPr>
              <w:tabs>
                <w:tab w:val="left" w:pos="3441"/>
              </w:tabs>
              <w:jc w:val="center"/>
              <w:rPr>
                <w:rFonts w:ascii="Times New Roman" w:hAnsi="Times New Roman" w:cs="Times New Roman"/>
                <w:b/>
                <w:bCs/>
                <w:color w:val="0D0D0D" w:themeColor="text1" w:themeTint="F2"/>
                <w:sz w:val="24"/>
                <w:szCs w:val="24"/>
              </w:rPr>
            </w:pPr>
            <w:r w:rsidRPr="00842FE5">
              <w:rPr>
                <w:rFonts w:ascii="Times New Roman" w:hAnsi="Times New Roman" w:cs="Times New Roman"/>
                <w:color w:val="0D0D0D" w:themeColor="text1" w:themeTint="F2"/>
                <w:kern w:val="24"/>
                <w:sz w:val="24"/>
                <w:szCs w:val="24"/>
              </w:rPr>
              <w:t>2 (0.5)</w:t>
            </w:r>
          </w:p>
        </w:tc>
      </w:tr>
      <w:tr w:rsidR="00842FE5" w:rsidRPr="00842FE5" w14:paraId="0DB489B8" w14:textId="77777777" w:rsidTr="00EB418C">
        <w:tc>
          <w:tcPr>
            <w:tcW w:w="5022" w:type="dxa"/>
            <w:vAlign w:val="center"/>
          </w:tcPr>
          <w:p w14:paraId="7A27049D" w14:textId="77777777" w:rsidR="00B30C7E" w:rsidRPr="00842FE5" w:rsidRDefault="00B30C7E" w:rsidP="00EB418C">
            <w:pPr>
              <w:pStyle w:val="NormalWeb"/>
              <w:spacing w:before="0" w:beforeAutospacing="0" w:after="0" w:afterAutospacing="0"/>
              <w:rPr>
                <w:color w:val="0D0D0D" w:themeColor="text1" w:themeTint="F2"/>
              </w:rPr>
            </w:pPr>
            <w:r w:rsidRPr="00842FE5">
              <w:rPr>
                <w:color w:val="0D0D0D" w:themeColor="text1" w:themeTint="F2"/>
                <w:kern w:val="24"/>
              </w:rPr>
              <w:t>Asymptomatic hypoglycaemia</w:t>
            </w:r>
          </w:p>
          <w:p w14:paraId="45E8F432" w14:textId="77777777" w:rsidR="00B30C7E" w:rsidRPr="00842FE5" w:rsidRDefault="00B30C7E" w:rsidP="00EB418C">
            <w:pPr>
              <w:pStyle w:val="NormalWeb"/>
              <w:spacing w:before="0" w:beforeAutospacing="0" w:after="0" w:afterAutospacing="0"/>
              <w:ind w:firstLine="418"/>
              <w:rPr>
                <w:color w:val="0D0D0D" w:themeColor="text1" w:themeTint="F2"/>
              </w:rPr>
            </w:pPr>
            <w:r w:rsidRPr="00842FE5">
              <w:rPr>
                <w:color w:val="0D0D0D" w:themeColor="text1" w:themeTint="F2"/>
                <w:kern w:val="24"/>
              </w:rPr>
              <w:t>≤3.9 mmol/L (≤70 mg/dL)</w:t>
            </w:r>
          </w:p>
          <w:p w14:paraId="14ECF111" w14:textId="54DB91D5" w:rsidR="00B30C7E" w:rsidRPr="00842FE5" w:rsidRDefault="00B30C7E" w:rsidP="00EB418C">
            <w:pPr>
              <w:pStyle w:val="NormalWeb"/>
              <w:spacing w:before="0" w:beforeAutospacing="0" w:after="0" w:afterAutospacing="0"/>
              <w:ind w:firstLine="371"/>
              <w:rPr>
                <w:color w:val="0D0D0D" w:themeColor="text1" w:themeTint="F2"/>
                <w:kern w:val="24"/>
              </w:rPr>
            </w:pPr>
            <w:r w:rsidRPr="00842FE5">
              <w:rPr>
                <w:color w:val="0D0D0D" w:themeColor="text1" w:themeTint="F2"/>
                <w:kern w:val="24"/>
              </w:rPr>
              <w:t>˂3.0 mmol/L (&lt;54 mg/dL)</w:t>
            </w:r>
          </w:p>
        </w:tc>
        <w:tc>
          <w:tcPr>
            <w:tcW w:w="2410" w:type="dxa"/>
            <w:vAlign w:val="center"/>
          </w:tcPr>
          <w:p w14:paraId="60E8D6EA" w14:textId="77777777" w:rsidR="00B30C7E" w:rsidRPr="00842FE5" w:rsidRDefault="00B30C7E" w:rsidP="00EB418C">
            <w:pPr>
              <w:pStyle w:val="NormalWeb"/>
              <w:spacing w:before="0" w:beforeAutospacing="0" w:after="0" w:afterAutospacing="0"/>
              <w:jc w:val="center"/>
              <w:rPr>
                <w:color w:val="0D0D0D" w:themeColor="text1" w:themeTint="F2"/>
              </w:rPr>
            </w:pPr>
            <w:r w:rsidRPr="00842FE5">
              <w:rPr>
                <w:color w:val="0D0D0D" w:themeColor="text1" w:themeTint="F2"/>
                <w:kern w:val="24"/>
              </w:rPr>
              <w:t>33 (8.9)</w:t>
            </w:r>
          </w:p>
          <w:p w14:paraId="5F89C29F" w14:textId="77777777" w:rsidR="00B30C7E" w:rsidRPr="00842FE5" w:rsidRDefault="00B30C7E" w:rsidP="00EB418C">
            <w:pPr>
              <w:pStyle w:val="NormalWeb"/>
              <w:spacing w:before="0" w:beforeAutospacing="0" w:after="0" w:afterAutospacing="0"/>
              <w:jc w:val="center"/>
              <w:rPr>
                <w:color w:val="0D0D0D" w:themeColor="text1" w:themeTint="F2"/>
              </w:rPr>
            </w:pPr>
            <w:r w:rsidRPr="00842FE5">
              <w:rPr>
                <w:color w:val="0D0D0D" w:themeColor="text1" w:themeTint="F2"/>
                <w:kern w:val="24"/>
              </w:rPr>
              <w:t>33 (8.9)</w:t>
            </w:r>
          </w:p>
          <w:p w14:paraId="42FC3204" w14:textId="77777777" w:rsidR="00B30C7E" w:rsidRPr="00842FE5" w:rsidRDefault="00B30C7E" w:rsidP="00EB418C">
            <w:pPr>
              <w:pStyle w:val="NormalWeb"/>
              <w:spacing w:before="0" w:beforeAutospacing="0" w:after="0" w:afterAutospacing="0"/>
              <w:jc w:val="center"/>
              <w:rPr>
                <w:color w:val="0D0D0D" w:themeColor="text1" w:themeTint="F2"/>
                <w:kern w:val="24"/>
              </w:rPr>
            </w:pPr>
            <w:r w:rsidRPr="00842FE5">
              <w:rPr>
                <w:color w:val="0D0D0D" w:themeColor="text1" w:themeTint="F2"/>
                <w:kern w:val="24"/>
              </w:rPr>
              <w:t>3 (0.8)</w:t>
            </w:r>
          </w:p>
        </w:tc>
        <w:tc>
          <w:tcPr>
            <w:tcW w:w="2524" w:type="dxa"/>
            <w:vAlign w:val="center"/>
          </w:tcPr>
          <w:p w14:paraId="60179EA4" w14:textId="77777777" w:rsidR="00B30C7E" w:rsidRPr="00842FE5" w:rsidRDefault="00B30C7E" w:rsidP="00EB418C">
            <w:pPr>
              <w:pStyle w:val="NormalWeb"/>
              <w:spacing w:before="0" w:beforeAutospacing="0" w:after="0" w:afterAutospacing="0"/>
              <w:jc w:val="center"/>
              <w:rPr>
                <w:color w:val="0D0D0D" w:themeColor="text1" w:themeTint="F2"/>
              </w:rPr>
            </w:pPr>
            <w:r w:rsidRPr="00842FE5">
              <w:rPr>
                <w:color w:val="0D0D0D" w:themeColor="text1" w:themeTint="F2"/>
                <w:kern w:val="24"/>
              </w:rPr>
              <w:t>13 (3.5)</w:t>
            </w:r>
          </w:p>
          <w:p w14:paraId="052DD598" w14:textId="77777777" w:rsidR="00B30C7E" w:rsidRPr="00842FE5" w:rsidRDefault="00B30C7E" w:rsidP="00EB418C">
            <w:pPr>
              <w:pStyle w:val="NormalWeb"/>
              <w:spacing w:before="0" w:beforeAutospacing="0" w:after="0" w:afterAutospacing="0"/>
              <w:jc w:val="center"/>
              <w:rPr>
                <w:color w:val="0D0D0D" w:themeColor="text1" w:themeTint="F2"/>
              </w:rPr>
            </w:pPr>
            <w:r w:rsidRPr="00842FE5">
              <w:rPr>
                <w:color w:val="0D0D0D" w:themeColor="text1" w:themeTint="F2"/>
                <w:kern w:val="24"/>
              </w:rPr>
              <w:t>13 (3.5)</w:t>
            </w:r>
          </w:p>
          <w:p w14:paraId="4A67DDCB" w14:textId="77777777" w:rsidR="00B30C7E" w:rsidRPr="00842FE5" w:rsidRDefault="00B30C7E" w:rsidP="00EB418C">
            <w:pPr>
              <w:pStyle w:val="NormalWeb"/>
              <w:spacing w:before="0" w:beforeAutospacing="0" w:after="0" w:afterAutospacing="0"/>
              <w:jc w:val="center"/>
              <w:rPr>
                <w:color w:val="0D0D0D" w:themeColor="text1" w:themeTint="F2"/>
                <w:kern w:val="24"/>
              </w:rPr>
            </w:pPr>
            <w:r w:rsidRPr="00842FE5">
              <w:rPr>
                <w:color w:val="0D0D0D" w:themeColor="text1" w:themeTint="F2"/>
                <w:kern w:val="24"/>
              </w:rPr>
              <w:t>2 (0.5)</w:t>
            </w:r>
          </w:p>
        </w:tc>
      </w:tr>
      <w:tr w:rsidR="00842FE5" w:rsidRPr="00842FE5" w14:paraId="54B44633" w14:textId="77777777" w:rsidTr="00EB418C">
        <w:tc>
          <w:tcPr>
            <w:tcW w:w="5022" w:type="dxa"/>
            <w:vAlign w:val="center"/>
          </w:tcPr>
          <w:p w14:paraId="62140A92" w14:textId="77777777" w:rsidR="00B30C7E" w:rsidRPr="00842FE5" w:rsidRDefault="00B30C7E" w:rsidP="00EB418C">
            <w:pPr>
              <w:pStyle w:val="NormalWeb"/>
              <w:tabs>
                <w:tab w:val="left" w:pos="0"/>
              </w:tabs>
              <w:spacing w:before="0" w:beforeAutospacing="0" w:after="0" w:afterAutospacing="0"/>
              <w:rPr>
                <w:color w:val="0D0D0D" w:themeColor="text1" w:themeTint="F2"/>
              </w:rPr>
            </w:pPr>
            <w:r w:rsidRPr="00842FE5">
              <w:rPr>
                <w:color w:val="0D0D0D" w:themeColor="text1" w:themeTint="F2"/>
                <w:kern w:val="24"/>
              </w:rPr>
              <w:t>Severe and/or confirmed hypoglycaemia</w:t>
            </w:r>
            <w:r w:rsidRPr="00842FE5">
              <w:rPr>
                <w:color w:val="0D0D0D" w:themeColor="text1" w:themeTint="F2"/>
                <w:kern w:val="24"/>
                <w:position w:val="7"/>
                <w:vertAlign w:val="superscript"/>
              </w:rPr>
              <w:t>c</w:t>
            </w:r>
          </w:p>
          <w:p w14:paraId="35E65BC1" w14:textId="77777777" w:rsidR="00B30C7E" w:rsidRPr="00842FE5" w:rsidRDefault="00B30C7E" w:rsidP="00EB418C">
            <w:pPr>
              <w:pStyle w:val="NormalWeb"/>
              <w:spacing w:before="0" w:beforeAutospacing="0" w:after="0" w:afterAutospacing="0"/>
              <w:ind w:firstLine="418"/>
              <w:rPr>
                <w:color w:val="0D0D0D" w:themeColor="text1" w:themeTint="F2"/>
              </w:rPr>
            </w:pPr>
            <w:r w:rsidRPr="00842FE5">
              <w:rPr>
                <w:color w:val="0D0D0D" w:themeColor="text1" w:themeTint="F2"/>
                <w:kern w:val="24"/>
              </w:rPr>
              <w:t>≤3.9 mmol/L (≤70 mg/dL)</w:t>
            </w:r>
          </w:p>
          <w:p w14:paraId="615AD759" w14:textId="067679B7" w:rsidR="00B30C7E" w:rsidRPr="00842FE5" w:rsidRDefault="00B30C7E" w:rsidP="00EB418C">
            <w:pPr>
              <w:pStyle w:val="NormalWeb"/>
              <w:spacing w:before="0" w:beforeAutospacing="0" w:after="0" w:afterAutospacing="0"/>
              <w:ind w:firstLine="371"/>
              <w:rPr>
                <w:color w:val="0D0D0D" w:themeColor="text1" w:themeTint="F2"/>
                <w:kern w:val="24"/>
              </w:rPr>
            </w:pPr>
            <w:r w:rsidRPr="00842FE5">
              <w:rPr>
                <w:color w:val="0D0D0D" w:themeColor="text1" w:themeTint="F2"/>
                <w:kern w:val="24"/>
              </w:rPr>
              <w:t>˂3.0 mmol/L (&lt;54 mg/dL)</w:t>
            </w:r>
          </w:p>
        </w:tc>
        <w:tc>
          <w:tcPr>
            <w:tcW w:w="2410" w:type="dxa"/>
            <w:vAlign w:val="center"/>
          </w:tcPr>
          <w:p w14:paraId="7504622C" w14:textId="77777777" w:rsidR="00B30C7E" w:rsidRPr="00842FE5" w:rsidRDefault="00B30C7E" w:rsidP="00EB418C">
            <w:pPr>
              <w:pStyle w:val="NormalWeb"/>
              <w:spacing w:before="0" w:beforeAutospacing="0" w:after="0" w:afterAutospacing="0"/>
              <w:jc w:val="center"/>
              <w:rPr>
                <w:color w:val="0D0D0D" w:themeColor="text1" w:themeTint="F2"/>
              </w:rPr>
            </w:pPr>
            <w:r w:rsidRPr="00842FE5">
              <w:rPr>
                <w:color w:val="0D0D0D" w:themeColor="text1" w:themeTint="F2"/>
                <w:kern w:val="24"/>
              </w:rPr>
              <w:t>70 (18.8)</w:t>
            </w:r>
          </w:p>
          <w:p w14:paraId="443720F4" w14:textId="77777777" w:rsidR="00B30C7E" w:rsidRPr="00842FE5" w:rsidRDefault="00B30C7E" w:rsidP="00EB418C">
            <w:pPr>
              <w:pStyle w:val="NormalWeb"/>
              <w:spacing w:before="0" w:beforeAutospacing="0" w:after="0" w:afterAutospacing="0"/>
              <w:jc w:val="center"/>
              <w:rPr>
                <w:color w:val="0D0D0D" w:themeColor="text1" w:themeTint="F2"/>
              </w:rPr>
            </w:pPr>
            <w:r w:rsidRPr="00842FE5">
              <w:rPr>
                <w:color w:val="0D0D0D" w:themeColor="text1" w:themeTint="F2"/>
                <w:kern w:val="24"/>
              </w:rPr>
              <w:t>70 (18.8)</w:t>
            </w:r>
          </w:p>
          <w:p w14:paraId="11F80AEF" w14:textId="77777777" w:rsidR="00B30C7E" w:rsidRPr="00842FE5" w:rsidRDefault="00B30C7E" w:rsidP="00EB418C">
            <w:pPr>
              <w:pStyle w:val="NormalWeb"/>
              <w:spacing w:before="0" w:beforeAutospacing="0" w:after="0" w:afterAutospacing="0"/>
              <w:jc w:val="center"/>
              <w:rPr>
                <w:color w:val="0D0D0D" w:themeColor="text1" w:themeTint="F2"/>
                <w:kern w:val="24"/>
              </w:rPr>
            </w:pPr>
            <w:r w:rsidRPr="00842FE5">
              <w:rPr>
                <w:color w:val="0D0D0D" w:themeColor="text1" w:themeTint="F2"/>
                <w:kern w:val="24"/>
              </w:rPr>
              <w:t>16 (4.3)</w:t>
            </w:r>
          </w:p>
        </w:tc>
        <w:tc>
          <w:tcPr>
            <w:tcW w:w="2524" w:type="dxa"/>
            <w:vAlign w:val="center"/>
          </w:tcPr>
          <w:p w14:paraId="73C82194" w14:textId="77777777" w:rsidR="00B30C7E" w:rsidRPr="00842FE5" w:rsidRDefault="00B30C7E" w:rsidP="00EB418C">
            <w:pPr>
              <w:pStyle w:val="NormalWeb"/>
              <w:spacing w:before="0" w:beforeAutospacing="0" w:after="0" w:afterAutospacing="0"/>
              <w:jc w:val="center"/>
              <w:rPr>
                <w:color w:val="0D0D0D" w:themeColor="text1" w:themeTint="F2"/>
              </w:rPr>
            </w:pPr>
            <w:r w:rsidRPr="00842FE5">
              <w:rPr>
                <w:color w:val="0D0D0D" w:themeColor="text1" w:themeTint="F2"/>
                <w:kern w:val="24"/>
              </w:rPr>
              <w:t>31 (8.3)</w:t>
            </w:r>
          </w:p>
          <w:p w14:paraId="5FBD11CA" w14:textId="77777777" w:rsidR="00B30C7E" w:rsidRPr="00842FE5" w:rsidRDefault="00B30C7E" w:rsidP="00EB418C">
            <w:pPr>
              <w:pStyle w:val="NormalWeb"/>
              <w:spacing w:before="0" w:beforeAutospacing="0" w:after="0" w:afterAutospacing="0"/>
              <w:jc w:val="center"/>
              <w:rPr>
                <w:color w:val="0D0D0D" w:themeColor="text1" w:themeTint="F2"/>
              </w:rPr>
            </w:pPr>
            <w:r w:rsidRPr="00842FE5">
              <w:rPr>
                <w:color w:val="0D0D0D" w:themeColor="text1" w:themeTint="F2"/>
                <w:kern w:val="24"/>
              </w:rPr>
              <w:t>31 (8.3)</w:t>
            </w:r>
          </w:p>
          <w:p w14:paraId="7360694B" w14:textId="77777777" w:rsidR="00B30C7E" w:rsidRPr="00842FE5" w:rsidRDefault="00B30C7E" w:rsidP="00EB418C">
            <w:pPr>
              <w:pStyle w:val="NormalWeb"/>
              <w:spacing w:before="0" w:beforeAutospacing="0" w:after="0" w:afterAutospacing="0"/>
              <w:jc w:val="center"/>
              <w:rPr>
                <w:color w:val="0D0D0D" w:themeColor="text1" w:themeTint="F2"/>
                <w:kern w:val="24"/>
              </w:rPr>
            </w:pPr>
            <w:r w:rsidRPr="00842FE5">
              <w:rPr>
                <w:color w:val="0D0D0D" w:themeColor="text1" w:themeTint="F2"/>
                <w:kern w:val="24"/>
              </w:rPr>
              <w:t>4 (1.1)</w:t>
            </w:r>
          </w:p>
        </w:tc>
      </w:tr>
    </w:tbl>
    <w:p w14:paraId="25DB4407" w14:textId="77777777" w:rsidR="00597D04" w:rsidRPr="00842FE5" w:rsidRDefault="00B30C7E" w:rsidP="004D4C64">
      <w:pPr>
        <w:tabs>
          <w:tab w:val="left" w:pos="3441"/>
        </w:tabs>
        <w:spacing w:line="240" w:lineRule="auto"/>
        <w:ind w:left="360"/>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vertAlign w:val="superscript"/>
        </w:rPr>
        <w:t>a</w:t>
      </w:r>
      <w:r w:rsidRPr="00842FE5">
        <w:rPr>
          <w:rFonts w:ascii="Times New Roman" w:hAnsi="Times New Roman" w:cs="Times New Roman"/>
          <w:color w:val="0D0D0D" w:themeColor="text1" w:themeTint="F2"/>
          <w:sz w:val="24"/>
          <w:szCs w:val="24"/>
        </w:rPr>
        <w:t xml:space="preserve">Nocturnal hypoglycaemia is any hypoglycaemia that occurs while the patient was asleep between bedtime and before getting up in the morning. </w:t>
      </w:r>
    </w:p>
    <w:p w14:paraId="543E4391" w14:textId="41C6DBE9" w:rsidR="00597D04" w:rsidRPr="00842FE5" w:rsidRDefault="00B30C7E" w:rsidP="004D4C64">
      <w:pPr>
        <w:tabs>
          <w:tab w:val="left" w:pos="3441"/>
        </w:tabs>
        <w:spacing w:line="240" w:lineRule="auto"/>
        <w:ind w:left="360"/>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vertAlign w:val="superscript"/>
        </w:rPr>
        <w:t>b</w:t>
      </w:r>
      <w:r w:rsidRPr="00842FE5">
        <w:rPr>
          <w:rFonts w:ascii="Times New Roman" w:hAnsi="Times New Roman" w:cs="Times New Roman"/>
          <w:color w:val="0D0D0D" w:themeColor="text1" w:themeTint="F2"/>
          <w:sz w:val="24"/>
          <w:szCs w:val="24"/>
        </w:rPr>
        <w:t xml:space="preserve">Severe hypoglycaemia includes any hypoglycaemia event </w:t>
      </w:r>
      <w:r w:rsidR="00FF218D" w:rsidRPr="00842FE5">
        <w:rPr>
          <w:rFonts w:ascii="Times New Roman" w:hAnsi="Times New Roman" w:cs="Times New Roman"/>
          <w:color w:val="0D0D0D" w:themeColor="text1" w:themeTint="F2"/>
          <w:sz w:val="24"/>
          <w:szCs w:val="24"/>
        </w:rPr>
        <w:t xml:space="preserve">that </w:t>
      </w:r>
      <w:r w:rsidRPr="00842FE5">
        <w:rPr>
          <w:rFonts w:ascii="Times New Roman" w:hAnsi="Times New Roman" w:cs="Times New Roman"/>
          <w:color w:val="0D0D0D" w:themeColor="text1" w:themeTint="F2"/>
          <w:sz w:val="24"/>
          <w:szCs w:val="24"/>
        </w:rPr>
        <w:t xml:space="preserve">requires third party assistance. </w:t>
      </w:r>
    </w:p>
    <w:p w14:paraId="2218B7CB" w14:textId="3736BE63" w:rsidR="00310350" w:rsidRPr="00842FE5" w:rsidRDefault="00B30C7E" w:rsidP="004D4C64">
      <w:pPr>
        <w:spacing w:line="240" w:lineRule="auto"/>
        <w:ind w:left="426" w:hanging="142"/>
        <w:rPr>
          <w:rFonts w:ascii="Times New Roman" w:hAnsi="Times New Roman" w:cs="Times New Roman"/>
          <w:color w:val="0D0D0D" w:themeColor="text1" w:themeTint="F2"/>
          <w:sz w:val="24"/>
          <w:szCs w:val="24"/>
        </w:rPr>
      </w:pPr>
      <w:r w:rsidRPr="00842FE5">
        <w:rPr>
          <w:rFonts w:ascii="Times New Roman" w:hAnsi="Times New Roman" w:cs="Times New Roman"/>
          <w:color w:val="0D0D0D" w:themeColor="text1" w:themeTint="F2"/>
          <w:sz w:val="24"/>
          <w:szCs w:val="24"/>
          <w:vertAlign w:val="superscript"/>
        </w:rPr>
        <w:t>c</w:t>
      </w:r>
      <w:r w:rsidRPr="00842FE5">
        <w:rPr>
          <w:rFonts w:ascii="Times New Roman" w:hAnsi="Times New Roman" w:cs="Times New Roman"/>
          <w:color w:val="0D0D0D" w:themeColor="text1" w:themeTint="F2"/>
          <w:sz w:val="24"/>
          <w:szCs w:val="24"/>
        </w:rPr>
        <w:t>Confirmed hypoglycaemia are sympotomatic or asymptomatic events confirmed by glucose values ≤3.9 mmol/L (≤70 mg/dL) or ˂3.0 mmol/L (&lt;54 mg/dL).</w:t>
      </w:r>
    </w:p>
    <w:sectPr w:rsidR="00310350" w:rsidRPr="00842FE5" w:rsidSect="00C65000">
      <w:headerReference w:type="even" r:id="rId10"/>
      <w:headerReference w:type="default" r:id="rId11"/>
      <w:footerReference w:type="even" r:id="rId12"/>
      <w:footerReference w:type="default" r:id="rId13"/>
      <w:headerReference w:type="first" r:id="rId14"/>
      <w:footerReference w:type="first" r:id="rId15"/>
      <w:pgSz w:w="11906" w:h="16838"/>
      <w:pgMar w:top="1440" w:right="1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E0CC0" w14:textId="77777777" w:rsidR="004E0871" w:rsidRDefault="004E0871" w:rsidP="000F244C">
      <w:pPr>
        <w:spacing w:after="0" w:line="240" w:lineRule="auto"/>
      </w:pPr>
      <w:r>
        <w:separator/>
      </w:r>
    </w:p>
  </w:endnote>
  <w:endnote w:type="continuationSeparator" w:id="0">
    <w:p w14:paraId="5D0E93F7" w14:textId="77777777" w:rsidR="004E0871" w:rsidRDefault="004E0871" w:rsidP="000F2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9B5B0" w14:textId="77777777" w:rsidR="008E56AE" w:rsidRDefault="008E5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515809"/>
      <w:docPartObj>
        <w:docPartGallery w:val="Page Numbers (Bottom of Page)"/>
        <w:docPartUnique/>
      </w:docPartObj>
    </w:sdtPr>
    <w:sdtEndPr/>
    <w:sdtContent>
      <w:sdt>
        <w:sdtPr>
          <w:id w:val="996622647"/>
          <w:docPartObj>
            <w:docPartGallery w:val="Page Numbers (Top of Page)"/>
            <w:docPartUnique/>
          </w:docPartObj>
        </w:sdtPr>
        <w:sdtEndPr/>
        <w:sdtContent>
          <w:p w14:paraId="5F42CCFC" w14:textId="25ABB74F" w:rsidR="00222AC0" w:rsidRDefault="00222AC0" w:rsidP="00D140CF">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8E56AE">
              <w:rPr>
                <w:b/>
                <w:bCs/>
                <w:noProof/>
              </w:rPr>
              <w:t>23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8E56AE">
              <w:rPr>
                <w:b/>
                <w:bCs/>
                <w:noProof/>
              </w:rPr>
              <w:t>26</w:t>
            </w:r>
            <w:r>
              <w:rPr>
                <w:b/>
                <w:bCs/>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82769" w14:textId="77777777" w:rsidR="008E56AE" w:rsidRDefault="008E5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EA97B" w14:textId="77777777" w:rsidR="004E0871" w:rsidRDefault="004E0871" w:rsidP="000F244C">
      <w:pPr>
        <w:spacing w:after="0" w:line="240" w:lineRule="auto"/>
      </w:pPr>
      <w:r>
        <w:separator/>
      </w:r>
    </w:p>
  </w:footnote>
  <w:footnote w:type="continuationSeparator" w:id="0">
    <w:p w14:paraId="1E1D1557" w14:textId="77777777" w:rsidR="004E0871" w:rsidRDefault="004E0871" w:rsidP="000F2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4D8B8" w14:textId="0DA32E7B" w:rsidR="008E56AE" w:rsidRDefault="008E56AE">
    <w:pPr>
      <w:pStyle w:val="Header"/>
    </w:pPr>
    <w:r>
      <w:rPr>
        <w:noProof/>
      </w:rPr>
      <w:pict w14:anchorId="2455E0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715313" o:spid="_x0000_s2050" type="#_x0000_t136" style="position:absolute;margin-left:0;margin-top:0;width:612.95pt;height:114.9pt;rotation:315;z-index:-251655168;mso-position-horizontal:center;mso-position-horizontal-relative:margin;mso-position-vertical:center;mso-position-vertical-relative:margin" o:allowincell="f" fillcolor="silver" stroked="f">
          <v:fill opacity=".5"/>
          <v:textpath style="font-family:&quot;Calibri&quot;;font-size:1pt" string="Pre-typeset artic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F33CE" w14:textId="1ADAC70D" w:rsidR="00222AC0" w:rsidRDefault="008E56AE" w:rsidP="00D140CF">
    <w:pPr>
      <w:pStyle w:val="Header"/>
      <w:tabs>
        <w:tab w:val="left" w:pos="4800"/>
      </w:tabs>
    </w:pPr>
    <w:r>
      <w:rPr>
        <w:noProof/>
      </w:rPr>
      <w:pict w14:anchorId="4E151B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715314" o:spid="_x0000_s2051" type="#_x0000_t136" style="position:absolute;margin-left:0;margin-top:0;width:612.95pt;height:114.9pt;rotation:315;z-index:-251653120;mso-position-horizontal:center;mso-position-horizontal-relative:margin;mso-position-vertical:center;mso-position-vertical-relative:margin" o:allowincell="f" fillcolor="silver" stroked="f">
          <v:fill opacity=".5"/>
          <v:textpath style="font-family:&quot;Calibri&quot;;font-size:1pt" string="Pre-typeset article"/>
        </v:shape>
      </w:pict>
    </w:r>
    <w:r w:rsidR="00222AC0">
      <w:t>ARTEMIS-DM Primary manuscript</w:t>
    </w:r>
    <w:r w:rsidR="00222AC0">
      <w:tab/>
    </w:r>
    <w:r w:rsidR="00222AC0">
      <w:tab/>
    </w:r>
    <w:r w:rsidR="00222AC0">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985A7" w14:textId="1E94292C" w:rsidR="008E56AE" w:rsidRDefault="008E56AE">
    <w:pPr>
      <w:pStyle w:val="Header"/>
    </w:pPr>
    <w:r>
      <w:rPr>
        <w:noProof/>
      </w:rPr>
      <w:pict w14:anchorId="74E55F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715312" o:spid="_x0000_s2049" type="#_x0000_t136" style="position:absolute;margin-left:0;margin-top:0;width:612.95pt;height:114.9pt;rotation:315;z-index:-251657216;mso-position-horizontal:center;mso-position-horizontal-relative:margin;mso-position-vertical:center;mso-position-vertical-relative:margin" o:allowincell="f" fillcolor="silver" stroked="f">
          <v:fill opacity=".5"/>
          <v:textpath style="font-family:&quot;Calibri&quot;;font-size:1pt" string="Pre-typeset artic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EDD"/>
    <w:multiLevelType w:val="hybridMultilevel"/>
    <w:tmpl w:val="50286E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E946F6"/>
    <w:multiLevelType w:val="hybridMultilevel"/>
    <w:tmpl w:val="3AF071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CFD7FD9"/>
    <w:multiLevelType w:val="multilevel"/>
    <w:tmpl w:val="30409250"/>
    <w:lvl w:ilvl="0">
      <w:start w:val="4"/>
      <w:numFmt w:val="decimal"/>
      <w:lvlText w:val="%1."/>
      <w:lvlJc w:val="left"/>
      <w:pPr>
        <w:ind w:left="720" w:hanging="360"/>
      </w:pPr>
      <w:rPr>
        <w:rFonts w:hint="default"/>
      </w:rPr>
    </w:lvl>
    <w:lvl w:ilvl="1">
      <w:start w:val="2"/>
      <w:numFmt w:val="decimal"/>
      <w:isLgl/>
      <w:lvlText w:val="%1.%2"/>
      <w:lvlJc w:val="left"/>
      <w:pPr>
        <w:ind w:left="36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4564E6"/>
    <w:multiLevelType w:val="hybridMultilevel"/>
    <w:tmpl w:val="214A76CC"/>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4" w15:restartNumberingAfterBreak="0">
    <w:nsid w:val="16446E7E"/>
    <w:multiLevelType w:val="multilevel"/>
    <w:tmpl w:val="52C608BE"/>
    <w:lvl w:ilvl="0">
      <w:start w:val="1"/>
      <w:numFmt w:val="decimal"/>
      <w:lvlText w:val="%1."/>
      <w:lvlJc w:val="left"/>
      <w:pPr>
        <w:ind w:left="720" w:hanging="360"/>
      </w:pPr>
      <w:rPr>
        <w:rFonts w:hint="default"/>
      </w:rPr>
    </w:lvl>
    <w:lvl w:ilvl="1">
      <w:start w:val="1"/>
      <w:numFmt w:val="decimal"/>
      <w:isLgl/>
      <w:lvlText w:val="%1.%2"/>
      <w:lvlJc w:val="left"/>
      <w:pPr>
        <w:ind w:left="2629" w:hanging="360"/>
      </w:pPr>
      <w:rPr>
        <w:rFonts w:hint="default"/>
        <w:i/>
        <w:iCs/>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15:restartNumberingAfterBreak="0">
    <w:nsid w:val="17641C17"/>
    <w:multiLevelType w:val="hybridMultilevel"/>
    <w:tmpl w:val="A1A61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BCD48F8"/>
    <w:multiLevelType w:val="hybridMultilevel"/>
    <w:tmpl w:val="098A2D60"/>
    <w:lvl w:ilvl="0" w:tplc="40090001">
      <w:start w:val="1"/>
      <w:numFmt w:val="bullet"/>
      <w:lvlText w:val=""/>
      <w:lvlJc w:val="left"/>
      <w:pPr>
        <w:ind w:left="1931" w:hanging="360"/>
      </w:pPr>
      <w:rPr>
        <w:rFonts w:ascii="Symbol" w:hAnsi="Symbol" w:hint="default"/>
      </w:rPr>
    </w:lvl>
    <w:lvl w:ilvl="1" w:tplc="40090003">
      <w:start w:val="1"/>
      <w:numFmt w:val="bullet"/>
      <w:lvlText w:val="o"/>
      <w:lvlJc w:val="left"/>
      <w:pPr>
        <w:ind w:left="2651" w:hanging="360"/>
      </w:pPr>
      <w:rPr>
        <w:rFonts w:ascii="Courier New" w:hAnsi="Courier New" w:cs="Courier New" w:hint="default"/>
      </w:rPr>
    </w:lvl>
    <w:lvl w:ilvl="2" w:tplc="40090005" w:tentative="1">
      <w:start w:val="1"/>
      <w:numFmt w:val="bullet"/>
      <w:lvlText w:val=""/>
      <w:lvlJc w:val="left"/>
      <w:pPr>
        <w:ind w:left="3371" w:hanging="360"/>
      </w:pPr>
      <w:rPr>
        <w:rFonts w:ascii="Wingdings" w:hAnsi="Wingdings" w:hint="default"/>
      </w:rPr>
    </w:lvl>
    <w:lvl w:ilvl="3" w:tplc="40090001" w:tentative="1">
      <w:start w:val="1"/>
      <w:numFmt w:val="bullet"/>
      <w:lvlText w:val=""/>
      <w:lvlJc w:val="left"/>
      <w:pPr>
        <w:ind w:left="4091" w:hanging="360"/>
      </w:pPr>
      <w:rPr>
        <w:rFonts w:ascii="Symbol" w:hAnsi="Symbol" w:hint="default"/>
      </w:rPr>
    </w:lvl>
    <w:lvl w:ilvl="4" w:tplc="40090003" w:tentative="1">
      <w:start w:val="1"/>
      <w:numFmt w:val="bullet"/>
      <w:lvlText w:val="o"/>
      <w:lvlJc w:val="left"/>
      <w:pPr>
        <w:ind w:left="4811" w:hanging="360"/>
      </w:pPr>
      <w:rPr>
        <w:rFonts w:ascii="Courier New" w:hAnsi="Courier New" w:cs="Courier New" w:hint="default"/>
      </w:rPr>
    </w:lvl>
    <w:lvl w:ilvl="5" w:tplc="40090005" w:tentative="1">
      <w:start w:val="1"/>
      <w:numFmt w:val="bullet"/>
      <w:lvlText w:val=""/>
      <w:lvlJc w:val="left"/>
      <w:pPr>
        <w:ind w:left="5531" w:hanging="360"/>
      </w:pPr>
      <w:rPr>
        <w:rFonts w:ascii="Wingdings" w:hAnsi="Wingdings" w:hint="default"/>
      </w:rPr>
    </w:lvl>
    <w:lvl w:ilvl="6" w:tplc="40090001" w:tentative="1">
      <w:start w:val="1"/>
      <w:numFmt w:val="bullet"/>
      <w:lvlText w:val=""/>
      <w:lvlJc w:val="left"/>
      <w:pPr>
        <w:ind w:left="6251" w:hanging="360"/>
      </w:pPr>
      <w:rPr>
        <w:rFonts w:ascii="Symbol" w:hAnsi="Symbol" w:hint="default"/>
      </w:rPr>
    </w:lvl>
    <w:lvl w:ilvl="7" w:tplc="40090003" w:tentative="1">
      <w:start w:val="1"/>
      <w:numFmt w:val="bullet"/>
      <w:lvlText w:val="o"/>
      <w:lvlJc w:val="left"/>
      <w:pPr>
        <w:ind w:left="6971" w:hanging="360"/>
      </w:pPr>
      <w:rPr>
        <w:rFonts w:ascii="Courier New" w:hAnsi="Courier New" w:cs="Courier New" w:hint="default"/>
      </w:rPr>
    </w:lvl>
    <w:lvl w:ilvl="8" w:tplc="40090005" w:tentative="1">
      <w:start w:val="1"/>
      <w:numFmt w:val="bullet"/>
      <w:lvlText w:val=""/>
      <w:lvlJc w:val="left"/>
      <w:pPr>
        <w:ind w:left="7691" w:hanging="360"/>
      </w:pPr>
      <w:rPr>
        <w:rFonts w:ascii="Wingdings" w:hAnsi="Wingdings" w:hint="default"/>
      </w:rPr>
    </w:lvl>
  </w:abstractNum>
  <w:abstractNum w:abstractNumId="7" w15:restartNumberingAfterBreak="0">
    <w:nsid w:val="1EA66FE1"/>
    <w:multiLevelType w:val="hybridMultilevel"/>
    <w:tmpl w:val="74845C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1352AAE"/>
    <w:multiLevelType w:val="hybridMultilevel"/>
    <w:tmpl w:val="23445DA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15:restartNumberingAfterBreak="0">
    <w:nsid w:val="2B076144"/>
    <w:multiLevelType w:val="hybridMultilevel"/>
    <w:tmpl w:val="871E1602"/>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10" w15:restartNumberingAfterBreak="0">
    <w:nsid w:val="33B27F0A"/>
    <w:multiLevelType w:val="hybridMultilevel"/>
    <w:tmpl w:val="CA70A604"/>
    <w:lvl w:ilvl="0" w:tplc="4009000F">
      <w:start w:val="1"/>
      <w:numFmt w:val="decimal"/>
      <w:lvlText w:val="%1."/>
      <w:lvlJc w:val="left"/>
      <w:pPr>
        <w:ind w:left="1353"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7143652"/>
    <w:multiLevelType w:val="hybridMultilevel"/>
    <w:tmpl w:val="2E3291EC"/>
    <w:lvl w:ilvl="0" w:tplc="40090001">
      <w:start w:val="1"/>
      <w:numFmt w:val="bullet"/>
      <w:lvlText w:val=""/>
      <w:lvlJc w:val="left"/>
      <w:pPr>
        <w:ind w:left="1931" w:hanging="360"/>
      </w:pPr>
      <w:rPr>
        <w:rFonts w:ascii="Symbol" w:hAnsi="Symbol" w:hint="default"/>
      </w:rPr>
    </w:lvl>
    <w:lvl w:ilvl="1" w:tplc="40090003" w:tentative="1">
      <w:start w:val="1"/>
      <w:numFmt w:val="bullet"/>
      <w:lvlText w:val="o"/>
      <w:lvlJc w:val="left"/>
      <w:pPr>
        <w:ind w:left="2651" w:hanging="360"/>
      </w:pPr>
      <w:rPr>
        <w:rFonts w:ascii="Courier New" w:hAnsi="Courier New" w:cs="Courier New" w:hint="default"/>
      </w:rPr>
    </w:lvl>
    <w:lvl w:ilvl="2" w:tplc="40090005" w:tentative="1">
      <w:start w:val="1"/>
      <w:numFmt w:val="bullet"/>
      <w:lvlText w:val=""/>
      <w:lvlJc w:val="left"/>
      <w:pPr>
        <w:ind w:left="3371" w:hanging="360"/>
      </w:pPr>
      <w:rPr>
        <w:rFonts w:ascii="Wingdings" w:hAnsi="Wingdings" w:hint="default"/>
      </w:rPr>
    </w:lvl>
    <w:lvl w:ilvl="3" w:tplc="40090001" w:tentative="1">
      <w:start w:val="1"/>
      <w:numFmt w:val="bullet"/>
      <w:lvlText w:val=""/>
      <w:lvlJc w:val="left"/>
      <w:pPr>
        <w:ind w:left="4091" w:hanging="360"/>
      </w:pPr>
      <w:rPr>
        <w:rFonts w:ascii="Symbol" w:hAnsi="Symbol" w:hint="default"/>
      </w:rPr>
    </w:lvl>
    <w:lvl w:ilvl="4" w:tplc="40090003" w:tentative="1">
      <w:start w:val="1"/>
      <w:numFmt w:val="bullet"/>
      <w:lvlText w:val="o"/>
      <w:lvlJc w:val="left"/>
      <w:pPr>
        <w:ind w:left="4811" w:hanging="360"/>
      </w:pPr>
      <w:rPr>
        <w:rFonts w:ascii="Courier New" w:hAnsi="Courier New" w:cs="Courier New" w:hint="default"/>
      </w:rPr>
    </w:lvl>
    <w:lvl w:ilvl="5" w:tplc="40090005" w:tentative="1">
      <w:start w:val="1"/>
      <w:numFmt w:val="bullet"/>
      <w:lvlText w:val=""/>
      <w:lvlJc w:val="left"/>
      <w:pPr>
        <w:ind w:left="5531" w:hanging="360"/>
      </w:pPr>
      <w:rPr>
        <w:rFonts w:ascii="Wingdings" w:hAnsi="Wingdings" w:hint="default"/>
      </w:rPr>
    </w:lvl>
    <w:lvl w:ilvl="6" w:tplc="40090001" w:tentative="1">
      <w:start w:val="1"/>
      <w:numFmt w:val="bullet"/>
      <w:lvlText w:val=""/>
      <w:lvlJc w:val="left"/>
      <w:pPr>
        <w:ind w:left="6251" w:hanging="360"/>
      </w:pPr>
      <w:rPr>
        <w:rFonts w:ascii="Symbol" w:hAnsi="Symbol" w:hint="default"/>
      </w:rPr>
    </w:lvl>
    <w:lvl w:ilvl="7" w:tplc="40090003" w:tentative="1">
      <w:start w:val="1"/>
      <w:numFmt w:val="bullet"/>
      <w:lvlText w:val="o"/>
      <w:lvlJc w:val="left"/>
      <w:pPr>
        <w:ind w:left="6971" w:hanging="360"/>
      </w:pPr>
      <w:rPr>
        <w:rFonts w:ascii="Courier New" w:hAnsi="Courier New" w:cs="Courier New" w:hint="default"/>
      </w:rPr>
    </w:lvl>
    <w:lvl w:ilvl="8" w:tplc="40090005" w:tentative="1">
      <w:start w:val="1"/>
      <w:numFmt w:val="bullet"/>
      <w:lvlText w:val=""/>
      <w:lvlJc w:val="left"/>
      <w:pPr>
        <w:ind w:left="7691" w:hanging="360"/>
      </w:pPr>
      <w:rPr>
        <w:rFonts w:ascii="Wingdings" w:hAnsi="Wingdings" w:hint="default"/>
      </w:rPr>
    </w:lvl>
  </w:abstractNum>
  <w:abstractNum w:abstractNumId="12" w15:restartNumberingAfterBreak="0">
    <w:nsid w:val="3947276F"/>
    <w:multiLevelType w:val="hybridMultilevel"/>
    <w:tmpl w:val="FA7626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BB41F9C"/>
    <w:multiLevelType w:val="hybridMultilevel"/>
    <w:tmpl w:val="61EC08A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15:restartNumberingAfterBreak="0">
    <w:nsid w:val="42550229"/>
    <w:multiLevelType w:val="multilevel"/>
    <w:tmpl w:val="1816448C"/>
    <w:lvl w:ilvl="0">
      <w:start w:val="2"/>
      <w:numFmt w:val="decimal"/>
      <w:lvlText w:val="%1"/>
      <w:lvlJc w:val="left"/>
      <w:pPr>
        <w:ind w:left="360" w:hanging="360"/>
      </w:pPr>
      <w:rPr>
        <w:rFonts w:hint="default"/>
        <w:i/>
      </w:rPr>
    </w:lvl>
    <w:lvl w:ilvl="1">
      <w:start w:val="3"/>
      <w:numFmt w:val="decimal"/>
      <w:lvlText w:val="%1.%2"/>
      <w:lvlJc w:val="left"/>
      <w:pPr>
        <w:ind w:left="927" w:hanging="360"/>
      </w:pPr>
      <w:rPr>
        <w:rFonts w:hint="default"/>
        <w:i/>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15" w15:restartNumberingAfterBreak="0">
    <w:nsid w:val="43BF350A"/>
    <w:multiLevelType w:val="hybridMultilevel"/>
    <w:tmpl w:val="1ABC19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67F41AF"/>
    <w:multiLevelType w:val="hybridMultilevel"/>
    <w:tmpl w:val="28D86E4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15:restartNumberingAfterBreak="0">
    <w:nsid w:val="49C438C7"/>
    <w:multiLevelType w:val="hybridMultilevel"/>
    <w:tmpl w:val="E6C6C8F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8" w15:restartNumberingAfterBreak="0">
    <w:nsid w:val="4B1F2A73"/>
    <w:multiLevelType w:val="hybridMultilevel"/>
    <w:tmpl w:val="4C9A09C0"/>
    <w:lvl w:ilvl="0" w:tplc="40090001">
      <w:start w:val="1"/>
      <w:numFmt w:val="bullet"/>
      <w:lvlText w:val=""/>
      <w:lvlJc w:val="left"/>
      <w:pPr>
        <w:ind w:left="1647" w:hanging="360"/>
      </w:pPr>
      <w:rPr>
        <w:rFonts w:ascii="Symbol" w:hAnsi="Symbol" w:hint="default"/>
      </w:rPr>
    </w:lvl>
    <w:lvl w:ilvl="1" w:tplc="40090003" w:tentative="1">
      <w:start w:val="1"/>
      <w:numFmt w:val="bullet"/>
      <w:lvlText w:val="o"/>
      <w:lvlJc w:val="left"/>
      <w:pPr>
        <w:ind w:left="2367" w:hanging="360"/>
      </w:pPr>
      <w:rPr>
        <w:rFonts w:ascii="Courier New" w:hAnsi="Courier New" w:cs="Courier New" w:hint="default"/>
      </w:rPr>
    </w:lvl>
    <w:lvl w:ilvl="2" w:tplc="40090005" w:tentative="1">
      <w:start w:val="1"/>
      <w:numFmt w:val="bullet"/>
      <w:lvlText w:val=""/>
      <w:lvlJc w:val="left"/>
      <w:pPr>
        <w:ind w:left="3087" w:hanging="360"/>
      </w:pPr>
      <w:rPr>
        <w:rFonts w:ascii="Wingdings" w:hAnsi="Wingdings" w:hint="default"/>
      </w:rPr>
    </w:lvl>
    <w:lvl w:ilvl="3" w:tplc="40090001" w:tentative="1">
      <w:start w:val="1"/>
      <w:numFmt w:val="bullet"/>
      <w:lvlText w:val=""/>
      <w:lvlJc w:val="left"/>
      <w:pPr>
        <w:ind w:left="3807" w:hanging="360"/>
      </w:pPr>
      <w:rPr>
        <w:rFonts w:ascii="Symbol" w:hAnsi="Symbol" w:hint="default"/>
      </w:rPr>
    </w:lvl>
    <w:lvl w:ilvl="4" w:tplc="40090003" w:tentative="1">
      <w:start w:val="1"/>
      <w:numFmt w:val="bullet"/>
      <w:lvlText w:val="o"/>
      <w:lvlJc w:val="left"/>
      <w:pPr>
        <w:ind w:left="4527" w:hanging="360"/>
      </w:pPr>
      <w:rPr>
        <w:rFonts w:ascii="Courier New" w:hAnsi="Courier New" w:cs="Courier New" w:hint="default"/>
      </w:rPr>
    </w:lvl>
    <w:lvl w:ilvl="5" w:tplc="40090005" w:tentative="1">
      <w:start w:val="1"/>
      <w:numFmt w:val="bullet"/>
      <w:lvlText w:val=""/>
      <w:lvlJc w:val="left"/>
      <w:pPr>
        <w:ind w:left="5247" w:hanging="360"/>
      </w:pPr>
      <w:rPr>
        <w:rFonts w:ascii="Wingdings" w:hAnsi="Wingdings" w:hint="default"/>
      </w:rPr>
    </w:lvl>
    <w:lvl w:ilvl="6" w:tplc="40090001" w:tentative="1">
      <w:start w:val="1"/>
      <w:numFmt w:val="bullet"/>
      <w:lvlText w:val=""/>
      <w:lvlJc w:val="left"/>
      <w:pPr>
        <w:ind w:left="5967" w:hanging="360"/>
      </w:pPr>
      <w:rPr>
        <w:rFonts w:ascii="Symbol" w:hAnsi="Symbol" w:hint="default"/>
      </w:rPr>
    </w:lvl>
    <w:lvl w:ilvl="7" w:tplc="40090003" w:tentative="1">
      <w:start w:val="1"/>
      <w:numFmt w:val="bullet"/>
      <w:lvlText w:val="o"/>
      <w:lvlJc w:val="left"/>
      <w:pPr>
        <w:ind w:left="6687" w:hanging="360"/>
      </w:pPr>
      <w:rPr>
        <w:rFonts w:ascii="Courier New" w:hAnsi="Courier New" w:cs="Courier New" w:hint="default"/>
      </w:rPr>
    </w:lvl>
    <w:lvl w:ilvl="8" w:tplc="40090005" w:tentative="1">
      <w:start w:val="1"/>
      <w:numFmt w:val="bullet"/>
      <w:lvlText w:val=""/>
      <w:lvlJc w:val="left"/>
      <w:pPr>
        <w:ind w:left="7407" w:hanging="360"/>
      </w:pPr>
      <w:rPr>
        <w:rFonts w:ascii="Wingdings" w:hAnsi="Wingdings" w:hint="default"/>
      </w:rPr>
    </w:lvl>
  </w:abstractNum>
  <w:abstractNum w:abstractNumId="19" w15:restartNumberingAfterBreak="0">
    <w:nsid w:val="55206E02"/>
    <w:multiLevelType w:val="hybridMultilevel"/>
    <w:tmpl w:val="30FCB8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5AAE1720"/>
    <w:multiLevelType w:val="hybridMultilevel"/>
    <w:tmpl w:val="CCE298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61CD4C7E"/>
    <w:multiLevelType w:val="hybridMultilevel"/>
    <w:tmpl w:val="775A59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4D35052"/>
    <w:multiLevelType w:val="hybridMultilevel"/>
    <w:tmpl w:val="40BA7E5E"/>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23" w15:restartNumberingAfterBreak="0">
    <w:nsid w:val="6F8337B4"/>
    <w:multiLevelType w:val="hybridMultilevel"/>
    <w:tmpl w:val="46080AC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4" w15:restartNumberingAfterBreak="0">
    <w:nsid w:val="70857825"/>
    <w:multiLevelType w:val="hybridMultilevel"/>
    <w:tmpl w:val="D3223EAC"/>
    <w:lvl w:ilvl="0" w:tplc="40090003">
      <w:start w:val="1"/>
      <w:numFmt w:val="bullet"/>
      <w:lvlText w:val="o"/>
      <w:lvlJc w:val="left"/>
      <w:pPr>
        <w:ind w:left="1506" w:hanging="360"/>
      </w:pPr>
      <w:rPr>
        <w:rFonts w:ascii="Courier New" w:hAnsi="Courier New" w:cs="Courier New" w:hint="default"/>
      </w:rPr>
    </w:lvl>
    <w:lvl w:ilvl="1" w:tplc="40090003" w:tentative="1">
      <w:start w:val="1"/>
      <w:numFmt w:val="bullet"/>
      <w:lvlText w:val="o"/>
      <w:lvlJc w:val="left"/>
      <w:pPr>
        <w:ind w:left="2226" w:hanging="360"/>
      </w:pPr>
      <w:rPr>
        <w:rFonts w:ascii="Courier New" w:hAnsi="Courier New" w:cs="Courier New" w:hint="default"/>
      </w:rPr>
    </w:lvl>
    <w:lvl w:ilvl="2" w:tplc="40090005" w:tentative="1">
      <w:start w:val="1"/>
      <w:numFmt w:val="bullet"/>
      <w:lvlText w:val=""/>
      <w:lvlJc w:val="left"/>
      <w:pPr>
        <w:ind w:left="2946" w:hanging="360"/>
      </w:pPr>
      <w:rPr>
        <w:rFonts w:ascii="Wingdings" w:hAnsi="Wingdings" w:hint="default"/>
      </w:rPr>
    </w:lvl>
    <w:lvl w:ilvl="3" w:tplc="40090001" w:tentative="1">
      <w:start w:val="1"/>
      <w:numFmt w:val="bullet"/>
      <w:lvlText w:val=""/>
      <w:lvlJc w:val="left"/>
      <w:pPr>
        <w:ind w:left="3666" w:hanging="360"/>
      </w:pPr>
      <w:rPr>
        <w:rFonts w:ascii="Symbol" w:hAnsi="Symbol" w:hint="default"/>
      </w:rPr>
    </w:lvl>
    <w:lvl w:ilvl="4" w:tplc="40090003" w:tentative="1">
      <w:start w:val="1"/>
      <w:numFmt w:val="bullet"/>
      <w:lvlText w:val="o"/>
      <w:lvlJc w:val="left"/>
      <w:pPr>
        <w:ind w:left="4386" w:hanging="360"/>
      </w:pPr>
      <w:rPr>
        <w:rFonts w:ascii="Courier New" w:hAnsi="Courier New" w:cs="Courier New" w:hint="default"/>
      </w:rPr>
    </w:lvl>
    <w:lvl w:ilvl="5" w:tplc="40090005" w:tentative="1">
      <w:start w:val="1"/>
      <w:numFmt w:val="bullet"/>
      <w:lvlText w:val=""/>
      <w:lvlJc w:val="left"/>
      <w:pPr>
        <w:ind w:left="5106" w:hanging="360"/>
      </w:pPr>
      <w:rPr>
        <w:rFonts w:ascii="Wingdings" w:hAnsi="Wingdings" w:hint="default"/>
      </w:rPr>
    </w:lvl>
    <w:lvl w:ilvl="6" w:tplc="40090001" w:tentative="1">
      <w:start w:val="1"/>
      <w:numFmt w:val="bullet"/>
      <w:lvlText w:val=""/>
      <w:lvlJc w:val="left"/>
      <w:pPr>
        <w:ind w:left="5826" w:hanging="360"/>
      </w:pPr>
      <w:rPr>
        <w:rFonts w:ascii="Symbol" w:hAnsi="Symbol" w:hint="default"/>
      </w:rPr>
    </w:lvl>
    <w:lvl w:ilvl="7" w:tplc="40090003" w:tentative="1">
      <w:start w:val="1"/>
      <w:numFmt w:val="bullet"/>
      <w:lvlText w:val="o"/>
      <w:lvlJc w:val="left"/>
      <w:pPr>
        <w:ind w:left="6546" w:hanging="360"/>
      </w:pPr>
      <w:rPr>
        <w:rFonts w:ascii="Courier New" w:hAnsi="Courier New" w:cs="Courier New" w:hint="default"/>
      </w:rPr>
    </w:lvl>
    <w:lvl w:ilvl="8" w:tplc="40090005" w:tentative="1">
      <w:start w:val="1"/>
      <w:numFmt w:val="bullet"/>
      <w:lvlText w:val=""/>
      <w:lvlJc w:val="left"/>
      <w:pPr>
        <w:ind w:left="7266" w:hanging="360"/>
      </w:pPr>
      <w:rPr>
        <w:rFonts w:ascii="Wingdings" w:hAnsi="Wingdings" w:hint="default"/>
      </w:rPr>
    </w:lvl>
  </w:abstractNum>
  <w:abstractNum w:abstractNumId="25" w15:restartNumberingAfterBreak="0">
    <w:nsid w:val="734F7EF8"/>
    <w:multiLevelType w:val="hybridMultilevel"/>
    <w:tmpl w:val="9DE005EA"/>
    <w:lvl w:ilvl="0" w:tplc="40090001">
      <w:start w:val="1"/>
      <w:numFmt w:val="bullet"/>
      <w:lvlText w:val=""/>
      <w:lvlJc w:val="left"/>
      <w:pPr>
        <w:ind w:left="1931" w:hanging="360"/>
      </w:pPr>
      <w:rPr>
        <w:rFonts w:ascii="Symbol" w:hAnsi="Symbol" w:hint="default"/>
      </w:rPr>
    </w:lvl>
    <w:lvl w:ilvl="1" w:tplc="40090003" w:tentative="1">
      <w:start w:val="1"/>
      <w:numFmt w:val="bullet"/>
      <w:lvlText w:val="o"/>
      <w:lvlJc w:val="left"/>
      <w:pPr>
        <w:ind w:left="2651" w:hanging="360"/>
      </w:pPr>
      <w:rPr>
        <w:rFonts w:ascii="Courier New" w:hAnsi="Courier New" w:cs="Courier New" w:hint="default"/>
      </w:rPr>
    </w:lvl>
    <w:lvl w:ilvl="2" w:tplc="40090005" w:tentative="1">
      <w:start w:val="1"/>
      <w:numFmt w:val="bullet"/>
      <w:lvlText w:val=""/>
      <w:lvlJc w:val="left"/>
      <w:pPr>
        <w:ind w:left="3371" w:hanging="360"/>
      </w:pPr>
      <w:rPr>
        <w:rFonts w:ascii="Wingdings" w:hAnsi="Wingdings" w:hint="default"/>
      </w:rPr>
    </w:lvl>
    <w:lvl w:ilvl="3" w:tplc="40090001" w:tentative="1">
      <w:start w:val="1"/>
      <w:numFmt w:val="bullet"/>
      <w:lvlText w:val=""/>
      <w:lvlJc w:val="left"/>
      <w:pPr>
        <w:ind w:left="4091" w:hanging="360"/>
      </w:pPr>
      <w:rPr>
        <w:rFonts w:ascii="Symbol" w:hAnsi="Symbol" w:hint="default"/>
      </w:rPr>
    </w:lvl>
    <w:lvl w:ilvl="4" w:tplc="40090003" w:tentative="1">
      <w:start w:val="1"/>
      <w:numFmt w:val="bullet"/>
      <w:lvlText w:val="o"/>
      <w:lvlJc w:val="left"/>
      <w:pPr>
        <w:ind w:left="4811" w:hanging="360"/>
      </w:pPr>
      <w:rPr>
        <w:rFonts w:ascii="Courier New" w:hAnsi="Courier New" w:cs="Courier New" w:hint="default"/>
      </w:rPr>
    </w:lvl>
    <w:lvl w:ilvl="5" w:tplc="40090005" w:tentative="1">
      <w:start w:val="1"/>
      <w:numFmt w:val="bullet"/>
      <w:lvlText w:val=""/>
      <w:lvlJc w:val="left"/>
      <w:pPr>
        <w:ind w:left="5531" w:hanging="360"/>
      </w:pPr>
      <w:rPr>
        <w:rFonts w:ascii="Wingdings" w:hAnsi="Wingdings" w:hint="default"/>
      </w:rPr>
    </w:lvl>
    <w:lvl w:ilvl="6" w:tplc="40090001" w:tentative="1">
      <w:start w:val="1"/>
      <w:numFmt w:val="bullet"/>
      <w:lvlText w:val=""/>
      <w:lvlJc w:val="left"/>
      <w:pPr>
        <w:ind w:left="6251" w:hanging="360"/>
      </w:pPr>
      <w:rPr>
        <w:rFonts w:ascii="Symbol" w:hAnsi="Symbol" w:hint="default"/>
      </w:rPr>
    </w:lvl>
    <w:lvl w:ilvl="7" w:tplc="40090003" w:tentative="1">
      <w:start w:val="1"/>
      <w:numFmt w:val="bullet"/>
      <w:lvlText w:val="o"/>
      <w:lvlJc w:val="left"/>
      <w:pPr>
        <w:ind w:left="6971" w:hanging="360"/>
      </w:pPr>
      <w:rPr>
        <w:rFonts w:ascii="Courier New" w:hAnsi="Courier New" w:cs="Courier New" w:hint="default"/>
      </w:rPr>
    </w:lvl>
    <w:lvl w:ilvl="8" w:tplc="40090005" w:tentative="1">
      <w:start w:val="1"/>
      <w:numFmt w:val="bullet"/>
      <w:lvlText w:val=""/>
      <w:lvlJc w:val="left"/>
      <w:pPr>
        <w:ind w:left="7691" w:hanging="360"/>
      </w:pPr>
      <w:rPr>
        <w:rFonts w:ascii="Wingdings" w:hAnsi="Wingdings" w:hint="default"/>
      </w:rPr>
    </w:lvl>
  </w:abstractNum>
  <w:num w:numId="1">
    <w:abstractNumId w:val="4"/>
  </w:num>
  <w:num w:numId="2">
    <w:abstractNumId w:val="11"/>
  </w:num>
  <w:num w:numId="3">
    <w:abstractNumId w:val="25"/>
  </w:num>
  <w:num w:numId="4">
    <w:abstractNumId w:val="6"/>
  </w:num>
  <w:num w:numId="5">
    <w:abstractNumId w:val="3"/>
  </w:num>
  <w:num w:numId="6">
    <w:abstractNumId w:val="24"/>
  </w:num>
  <w:num w:numId="7">
    <w:abstractNumId w:val="22"/>
  </w:num>
  <w:num w:numId="8">
    <w:abstractNumId w:val="17"/>
  </w:num>
  <w:num w:numId="9">
    <w:abstractNumId w:val="16"/>
  </w:num>
  <w:num w:numId="10">
    <w:abstractNumId w:val="14"/>
  </w:num>
  <w:num w:numId="11">
    <w:abstractNumId w:val="7"/>
  </w:num>
  <w:num w:numId="12">
    <w:abstractNumId w:val="23"/>
  </w:num>
  <w:num w:numId="13">
    <w:abstractNumId w:val="18"/>
  </w:num>
  <w:num w:numId="14">
    <w:abstractNumId w:val="8"/>
  </w:num>
  <w:num w:numId="15">
    <w:abstractNumId w:val="13"/>
  </w:num>
  <w:num w:numId="16">
    <w:abstractNumId w:val="2"/>
  </w:num>
  <w:num w:numId="17">
    <w:abstractNumId w:val="10"/>
  </w:num>
  <w:num w:numId="18">
    <w:abstractNumId w:val="12"/>
  </w:num>
  <w:num w:numId="19">
    <w:abstractNumId w:val="5"/>
  </w:num>
  <w:num w:numId="20">
    <w:abstractNumId w:val="6"/>
  </w:num>
  <w:num w:numId="21">
    <w:abstractNumId w:val="18"/>
  </w:num>
  <w:num w:numId="22">
    <w:abstractNumId w:val="9"/>
  </w:num>
  <w:num w:numId="23">
    <w:abstractNumId w:val="0"/>
  </w:num>
  <w:num w:numId="24">
    <w:abstractNumId w:val="1"/>
  </w:num>
  <w:num w:numId="25">
    <w:abstractNumId w:val="15"/>
  </w:num>
  <w:num w:numId="26">
    <w:abstractNumId w:val="20"/>
  </w:num>
  <w:num w:numId="27">
    <w:abstractNumId w:val="1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ACD"/>
    <w:rsid w:val="0000007C"/>
    <w:rsid w:val="000016C3"/>
    <w:rsid w:val="000026D6"/>
    <w:rsid w:val="00002AB9"/>
    <w:rsid w:val="00002C3D"/>
    <w:rsid w:val="00002ECE"/>
    <w:rsid w:val="00003F19"/>
    <w:rsid w:val="00004E4F"/>
    <w:rsid w:val="00005117"/>
    <w:rsid w:val="0000568D"/>
    <w:rsid w:val="000063AB"/>
    <w:rsid w:val="000068B2"/>
    <w:rsid w:val="000068FF"/>
    <w:rsid w:val="00006A78"/>
    <w:rsid w:val="00007189"/>
    <w:rsid w:val="00010605"/>
    <w:rsid w:val="00010A0E"/>
    <w:rsid w:val="00010A83"/>
    <w:rsid w:val="0001115D"/>
    <w:rsid w:val="00011201"/>
    <w:rsid w:val="00011BB6"/>
    <w:rsid w:val="00012873"/>
    <w:rsid w:val="00013E31"/>
    <w:rsid w:val="00014120"/>
    <w:rsid w:val="0001428C"/>
    <w:rsid w:val="00014821"/>
    <w:rsid w:val="000148A5"/>
    <w:rsid w:val="00015B3F"/>
    <w:rsid w:val="0001606C"/>
    <w:rsid w:val="000160EE"/>
    <w:rsid w:val="00016A05"/>
    <w:rsid w:val="00017066"/>
    <w:rsid w:val="00017A92"/>
    <w:rsid w:val="00017E17"/>
    <w:rsid w:val="00020DB7"/>
    <w:rsid w:val="00021DA6"/>
    <w:rsid w:val="00022DDF"/>
    <w:rsid w:val="0002320C"/>
    <w:rsid w:val="00023DD7"/>
    <w:rsid w:val="00024AB5"/>
    <w:rsid w:val="00024CD3"/>
    <w:rsid w:val="00024CEB"/>
    <w:rsid w:val="00025554"/>
    <w:rsid w:val="000267E2"/>
    <w:rsid w:val="000271F0"/>
    <w:rsid w:val="00027C2F"/>
    <w:rsid w:val="0003000E"/>
    <w:rsid w:val="00030725"/>
    <w:rsid w:val="00030ED5"/>
    <w:rsid w:val="00031893"/>
    <w:rsid w:val="00031F8C"/>
    <w:rsid w:val="0003205C"/>
    <w:rsid w:val="00032224"/>
    <w:rsid w:val="0003222C"/>
    <w:rsid w:val="00032943"/>
    <w:rsid w:val="00032C9A"/>
    <w:rsid w:val="000333FC"/>
    <w:rsid w:val="00033458"/>
    <w:rsid w:val="0003408D"/>
    <w:rsid w:val="0003434F"/>
    <w:rsid w:val="000343E0"/>
    <w:rsid w:val="000345B0"/>
    <w:rsid w:val="0003554A"/>
    <w:rsid w:val="00035B16"/>
    <w:rsid w:val="000361D6"/>
    <w:rsid w:val="00036DF0"/>
    <w:rsid w:val="0003778B"/>
    <w:rsid w:val="000401AB"/>
    <w:rsid w:val="0004044A"/>
    <w:rsid w:val="0004099D"/>
    <w:rsid w:val="00040B3B"/>
    <w:rsid w:val="00041526"/>
    <w:rsid w:val="00041AE6"/>
    <w:rsid w:val="00041B25"/>
    <w:rsid w:val="000427EF"/>
    <w:rsid w:val="00042F9C"/>
    <w:rsid w:val="0004335B"/>
    <w:rsid w:val="00043A42"/>
    <w:rsid w:val="00043BED"/>
    <w:rsid w:val="00043CB0"/>
    <w:rsid w:val="0004432F"/>
    <w:rsid w:val="0004436B"/>
    <w:rsid w:val="000448DC"/>
    <w:rsid w:val="00044B8B"/>
    <w:rsid w:val="00044E88"/>
    <w:rsid w:val="000457AD"/>
    <w:rsid w:val="00045DD6"/>
    <w:rsid w:val="000464EA"/>
    <w:rsid w:val="00046B76"/>
    <w:rsid w:val="000470E3"/>
    <w:rsid w:val="00047213"/>
    <w:rsid w:val="0004745F"/>
    <w:rsid w:val="00047585"/>
    <w:rsid w:val="00050189"/>
    <w:rsid w:val="00050699"/>
    <w:rsid w:val="000508C4"/>
    <w:rsid w:val="00050D1B"/>
    <w:rsid w:val="00051317"/>
    <w:rsid w:val="00051E03"/>
    <w:rsid w:val="000522FD"/>
    <w:rsid w:val="00053044"/>
    <w:rsid w:val="000530BE"/>
    <w:rsid w:val="00053B44"/>
    <w:rsid w:val="00054627"/>
    <w:rsid w:val="00054A0D"/>
    <w:rsid w:val="00054AE7"/>
    <w:rsid w:val="0005507F"/>
    <w:rsid w:val="0005523B"/>
    <w:rsid w:val="000553AB"/>
    <w:rsid w:val="00055EC9"/>
    <w:rsid w:val="00055EFD"/>
    <w:rsid w:val="00055F60"/>
    <w:rsid w:val="00056007"/>
    <w:rsid w:val="0005668B"/>
    <w:rsid w:val="0006047F"/>
    <w:rsid w:val="000605D3"/>
    <w:rsid w:val="00060CED"/>
    <w:rsid w:val="00061054"/>
    <w:rsid w:val="000617FC"/>
    <w:rsid w:val="0006221B"/>
    <w:rsid w:val="000625CE"/>
    <w:rsid w:val="0006297E"/>
    <w:rsid w:val="00063233"/>
    <w:rsid w:val="000637A2"/>
    <w:rsid w:val="0006552D"/>
    <w:rsid w:val="00065D91"/>
    <w:rsid w:val="00065F4F"/>
    <w:rsid w:val="00066699"/>
    <w:rsid w:val="000701CD"/>
    <w:rsid w:val="00070588"/>
    <w:rsid w:val="0007060D"/>
    <w:rsid w:val="00070A71"/>
    <w:rsid w:val="00070E04"/>
    <w:rsid w:val="00070F46"/>
    <w:rsid w:val="00071C0E"/>
    <w:rsid w:val="000723F8"/>
    <w:rsid w:val="00072B00"/>
    <w:rsid w:val="00073155"/>
    <w:rsid w:val="000731F1"/>
    <w:rsid w:val="000732B4"/>
    <w:rsid w:val="000733FB"/>
    <w:rsid w:val="00073858"/>
    <w:rsid w:val="00073AA1"/>
    <w:rsid w:val="00073FA9"/>
    <w:rsid w:val="000742DB"/>
    <w:rsid w:val="0007440D"/>
    <w:rsid w:val="000745B8"/>
    <w:rsid w:val="00074F48"/>
    <w:rsid w:val="0007570E"/>
    <w:rsid w:val="00075881"/>
    <w:rsid w:val="00075A47"/>
    <w:rsid w:val="000764D7"/>
    <w:rsid w:val="00077060"/>
    <w:rsid w:val="0007761D"/>
    <w:rsid w:val="0007798B"/>
    <w:rsid w:val="00077ABF"/>
    <w:rsid w:val="00077C60"/>
    <w:rsid w:val="0008094F"/>
    <w:rsid w:val="00080D67"/>
    <w:rsid w:val="0008306C"/>
    <w:rsid w:val="000845C0"/>
    <w:rsid w:val="000854BC"/>
    <w:rsid w:val="000854CD"/>
    <w:rsid w:val="000854F2"/>
    <w:rsid w:val="00086C64"/>
    <w:rsid w:val="00087019"/>
    <w:rsid w:val="000902F8"/>
    <w:rsid w:val="0009098F"/>
    <w:rsid w:val="00091926"/>
    <w:rsid w:val="00091A72"/>
    <w:rsid w:val="00092892"/>
    <w:rsid w:val="000929E7"/>
    <w:rsid w:val="00093A20"/>
    <w:rsid w:val="000940D3"/>
    <w:rsid w:val="00094D96"/>
    <w:rsid w:val="000959E3"/>
    <w:rsid w:val="00095B64"/>
    <w:rsid w:val="0009702D"/>
    <w:rsid w:val="00097793"/>
    <w:rsid w:val="000A03CF"/>
    <w:rsid w:val="000A0D15"/>
    <w:rsid w:val="000A1509"/>
    <w:rsid w:val="000A17FA"/>
    <w:rsid w:val="000A1AFF"/>
    <w:rsid w:val="000A1DFA"/>
    <w:rsid w:val="000A2F6F"/>
    <w:rsid w:val="000A32C1"/>
    <w:rsid w:val="000A345B"/>
    <w:rsid w:val="000A462A"/>
    <w:rsid w:val="000A4A2C"/>
    <w:rsid w:val="000A549D"/>
    <w:rsid w:val="000A572E"/>
    <w:rsid w:val="000A602C"/>
    <w:rsid w:val="000A6E83"/>
    <w:rsid w:val="000A6EEA"/>
    <w:rsid w:val="000A703E"/>
    <w:rsid w:val="000B0CA4"/>
    <w:rsid w:val="000B12E9"/>
    <w:rsid w:val="000B2085"/>
    <w:rsid w:val="000B22CE"/>
    <w:rsid w:val="000B298A"/>
    <w:rsid w:val="000B2A1C"/>
    <w:rsid w:val="000B2B0D"/>
    <w:rsid w:val="000B2CA1"/>
    <w:rsid w:val="000B3331"/>
    <w:rsid w:val="000B378D"/>
    <w:rsid w:val="000B3E0E"/>
    <w:rsid w:val="000B4857"/>
    <w:rsid w:val="000B4AC4"/>
    <w:rsid w:val="000B4C8A"/>
    <w:rsid w:val="000B520C"/>
    <w:rsid w:val="000B5E7C"/>
    <w:rsid w:val="000B5F1C"/>
    <w:rsid w:val="000B6093"/>
    <w:rsid w:val="000B6E43"/>
    <w:rsid w:val="000B7D4F"/>
    <w:rsid w:val="000C04C0"/>
    <w:rsid w:val="000C0FD3"/>
    <w:rsid w:val="000C13F7"/>
    <w:rsid w:val="000C15BE"/>
    <w:rsid w:val="000C1D87"/>
    <w:rsid w:val="000C2BE6"/>
    <w:rsid w:val="000C2EF8"/>
    <w:rsid w:val="000C2F73"/>
    <w:rsid w:val="000C3B2A"/>
    <w:rsid w:val="000C6C92"/>
    <w:rsid w:val="000C7342"/>
    <w:rsid w:val="000C75D3"/>
    <w:rsid w:val="000C7BDD"/>
    <w:rsid w:val="000C7CBD"/>
    <w:rsid w:val="000D0C63"/>
    <w:rsid w:val="000D140D"/>
    <w:rsid w:val="000D15C7"/>
    <w:rsid w:val="000D1890"/>
    <w:rsid w:val="000D269F"/>
    <w:rsid w:val="000D270C"/>
    <w:rsid w:val="000D37B7"/>
    <w:rsid w:val="000D4999"/>
    <w:rsid w:val="000D4B5C"/>
    <w:rsid w:val="000D5900"/>
    <w:rsid w:val="000D593E"/>
    <w:rsid w:val="000D6088"/>
    <w:rsid w:val="000D76C9"/>
    <w:rsid w:val="000D7ABF"/>
    <w:rsid w:val="000D7F3E"/>
    <w:rsid w:val="000E04F1"/>
    <w:rsid w:val="000E0C27"/>
    <w:rsid w:val="000E0EC5"/>
    <w:rsid w:val="000E225C"/>
    <w:rsid w:val="000E2602"/>
    <w:rsid w:val="000E3C61"/>
    <w:rsid w:val="000E520D"/>
    <w:rsid w:val="000E5C3B"/>
    <w:rsid w:val="000E6098"/>
    <w:rsid w:val="000E6585"/>
    <w:rsid w:val="000E67E7"/>
    <w:rsid w:val="000E70D4"/>
    <w:rsid w:val="000E710A"/>
    <w:rsid w:val="000E7E19"/>
    <w:rsid w:val="000E7E55"/>
    <w:rsid w:val="000F1057"/>
    <w:rsid w:val="000F13D8"/>
    <w:rsid w:val="000F2344"/>
    <w:rsid w:val="000F244C"/>
    <w:rsid w:val="000F2B68"/>
    <w:rsid w:val="000F2B9A"/>
    <w:rsid w:val="000F36E9"/>
    <w:rsid w:val="000F37B0"/>
    <w:rsid w:val="000F3B5D"/>
    <w:rsid w:val="000F3D0A"/>
    <w:rsid w:val="000F442A"/>
    <w:rsid w:val="000F53F9"/>
    <w:rsid w:val="000F5EA0"/>
    <w:rsid w:val="000F5F49"/>
    <w:rsid w:val="000F6700"/>
    <w:rsid w:val="000F6B92"/>
    <w:rsid w:val="000F76B2"/>
    <w:rsid w:val="000F7EEC"/>
    <w:rsid w:val="000F7F9C"/>
    <w:rsid w:val="00100070"/>
    <w:rsid w:val="00100651"/>
    <w:rsid w:val="00100A40"/>
    <w:rsid w:val="0010110D"/>
    <w:rsid w:val="0010113F"/>
    <w:rsid w:val="00101C2F"/>
    <w:rsid w:val="00101FCD"/>
    <w:rsid w:val="001033EC"/>
    <w:rsid w:val="00103522"/>
    <w:rsid w:val="00103FBC"/>
    <w:rsid w:val="0010425C"/>
    <w:rsid w:val="001048D0"/>
    <w:rsid w:val="00104CFD"/>
    <w:rsid w:val="00104E22"/>
    <w:rsid w:val="00105BA6"/>
    <w:rsid w:val="00105BC3"/>
    <w:rsid w:val="001065A0"/>
    <w:rsid w:val="0010675F"/>
    <w:rsid w:val="001068BF"/>
    <w:rsid w:val="00107A66"/>
    <w:rsid w:val="0011166E"/>
    <w:rsid w:val="00113DE2"/>
    <w:rsid w:val="001153EB"/>
    <w:rsid w:val="0011574C"/>
    <w:rsid w:val="00115C39"/>
    <w:rsid w:val="00115CCA"/>
    <w:rsid w:val="00116107"/>
    <w:rsid w:val="0011654B"/>
    <w:rsid w:val="00116DE5"/>
    <w:rsid w:val="001171EC"/>
    <w:rsid w:val="00117C0F"/>
    <w:rsid w:val="0012071C"/>
    <w:rsid w:val="001208E7"/>
    <w:rsid w:val="00120B84"/>
    <w:rsid w:val="00120F82"/>
    <w:rsid w:val="0012111E"/>
    <w:rsid w:val="00121B13"/>
    <w:rsid w:val="00123034"/>
    <w:rsid w:val="001233C8"/>
    <w:rsid w:val="001238B4"/>
    <w:rsid w:val="00123B0D"/>
    <w:rsid w:val="001240E3"/>
    <w:rsid w:val="00124B35"/>
    <w:rsid w:val="00124D38"/>
    <w:rsid w:val="00125107"/>
    <w:rsid w:val="00125358"/>
    <w:rsid w:val="0012568F"/>
    <w:rsid w:val="0012586D"/>
    <w:rsid w:val="00125A23"/>
    <w:rsid w:val="00125C8C"/>
    <w:rsid w:val="00125CBA"/>
    <w:rsid w:val="00125D6A"/>
    <w:rsid w:val="00126362"/>
    <w:rsid w:val="00126487"/>
    <w:rsid w:val="00126770"/>
    <w:rsid w:val="00127CC8"/>
    <w:rsid w:val="001301AC"/>
    <w:rsid w:val="001302C4"/>
    <w:rsid w:val="0013044C"/>
    <w:rsid w:val="0013071A"/>
    <w:rsid w:val="00130BDF"/>
    <w:rsid w:val="00130DDA"/>
    <w:rsid w:val="001312AF"/>
    <w:rsid w:val="00131AEB"/>
    <w:rsid w:val="001321C3"/>
    <w:rsid w:val="001328B7"/>
    <w:rsid w:val="00132D52"/>
    <w:rsid w:val="00132EEE"/>
    <w:rsid w:val="00133247"/>
    <w:rsid w:val="0013404E"/>
    <w:rsid w:val="00134399"/>
    <w:rsid w:val="00134AB3"/>
    <w:rsid w:val="00136A53"/>
    <w:rsid w:val="00136B58"/>
    <w:rsid w:val="00136D77"/>
    <w:rsid w:val="001370F7"/>
    <w:rsid w:val="001371DD"/>
    <w:rsid w:val="00137480"/>
    <w:rsid w:val="00137550"/>
    <w:rsid w:val="00137ABA"/>
    <w:rsid w:val="00140520"/>
    <w:rsid w:val="00141074"/>
    <w:rsid w:val="0014119C"/>
    <w:rsid w:val="00141404"/>
    <w:rsid w:val="00141534"/>
    <w:rsid w:val="001425B4"/>
    <w:rsid w:val="00142A04"/>
    <w:rsid w:val="00143746"/>
    <w:rsid w:val="0014425D"/>
    <w:rsid w:val="001442AE"/>
    <w:rsid w:val="00146200"/>
    <w:rsid w:val="00146435"/>
    <w:rsid w:val="00146C80"/>
    <w:rsid w:val="0014741A"/>
    <w:rsid w:val="001500EC"/>
    <w:rsid w:val="001508E8"/>
    <w:rsid w:val="001512CA"/>
    <w:rsid w:val="00152107"/>
    <w:rsid w:val="0015248B"/>
    <w:rsid w:val="0015263D"/>
    <w:rsid w:val="001529A6"/>
    <w:rsid w:val="00152B40"/>
    <w:rsid w:val="00152CF4"/>
    <w:rsid w:val="00153527"/>
    <w:rsid w:val="00153812"/>
    <w:rsid w:val="001548D7"/>
    <w:rsid w:val="001559CB"/>
    <w:rsid w:val="00157D5E"/>
    <w:rsid w:val="00161127"/>
    <w:rsid w:val="00161128"/>
    <w:rsid w:val="001625F8"/>
    <w:rsid w:val="0016330B"/>
    <w:rsid w:val="00163519"/>
    <w:rsid w:val="00163A2D"/>
    <w:rsid w:val="00164019"/>
    <w:rsid w:val="00164190"/>
    <w:rsid w:val="00164DB5"/>
    <w:rsid w:val="00166E5C"/>
    <w:rsid w:val="00167520"/>
    <w:rsid w:val="00170088"/>
    <w:rsid w:val="00170CBD"/>
    <w:rsid w:val="00171AC4"/>
    <w:rsid w:val="00173896"/>
    <w:rsid w:val="0017395C"/>
    <w:rsid w:val="00173AEE"/>
    <w:rsid w:val="00174264"/>
    <w:rsid w:val="001747CC"/>
    <w:rsid w:val="00175855"/>
    <w:rsid w:val="0017688C"/>
    <w:rsid w:val="00176E8E"/>
    <w:rsid w:val="00177167"/>
    <w:rsid w:val="00177307"/>
    <w:rsid w:val="001800BC"/>
    <w:rsid w:val="001800E7"/>
    <w:rsid w:val="001802DC"/>
    <w:rsid w:val="00180359"/>
    <w:rsid w:val="00180535"/>
    <w:rsid w:val="00180DB7"/>
    <w:rsid w:val="00181390"/>
    <w:rsid w:val="00181FAA"/>
    <w:rsid w:val="0018330E"/>
    <w:rsid w:val="00183383"/>
    <w:rsid w:val="00183691"/>
    <w:rsid w:val="001838CA"/>
    <w:rsid w:val="00183F93"/>
    <w:rsid w:val="00184C37"/>
    <w:rsid w:val="00185D11"/>
    <w:rsid w:val="00186332"/>
    <w:rsid w:val="001865A3"/>
    <w:rsid w:val="00187282"/>
    <w:rsid w:val="00187AB8"/>
    <w:rsid w:val="00187C86"/>
    <w:rsid w:val="00187E64"/>
    <w:rsid w:val="001905E1"/>
    <w:rsid w:val="00190693"/>
    <w:rsid w:val="00190714"/>
    <w:rsid w:val="00190DE5"/>
    <w:rsid w:val="00191433"/>
    <w:rsid w:val="0019193B"/>
    <w:rsid w:val="00191B56"/>
    <w:rsid w:val="00192203"/>
    <w:rsid w:val="00192A0D"/>
    <w:rsid w:val="00193253"/>
    <w:rsid w:val="0019499D"/>
    <w:rsid w:val="00194B21"/>
    <w:rsid w:val="00194E9C"/>
    <w:rsid w:val="001954BC"/>
    <w:rsid w:val="001954D9"/>
    <w:rsid w:val="00195ACF"/>
    <w:rsid w:val="00195D14"/>
    <w:rsid w:val="00195D1A"/>
    <w:rsid w:val="00196498"/>
    <w:rsid w:val="001967FF"/>
    <w:rsid w:val="00196D42"/>
    <w:rsid w:val="00197C16"/>
    <w:rsid w:val="001A08EE"/>
    <w:rsid w:val="001A0C1A"/>
    <w:rsid w:val="001A15B3"/>
    <w:rsid w:val="001A2151"/>
    <w:rsid w:val="001A336E"/>
    <w:rsid w:val="001A3A11"/>
    <w:rsid w:val="001A3D6F"/>
    <w:rsid w:val="001A3E91"/>
    <w:rsid w:val="001A40C4"/>
    <w:rsid w:val="001A4B5F"/>
    <w:rsid w:val="001A4C64"/>
    <w:rsid w:val="001A4E27"/>
    <w:rsid w:val="001A503F"/>
    <w:rsid w:val="001A5532"/>
    <w:rsid w:val="001A55AC"/>
    <w:rsid w:val="001A5930"/>
    <w:rsid w:val="001A5A38"/>
    <w:rsid w:val="001A5FB9"/>
    <w:rsid w:val="001A6591"/>
    <w:rsid w:val="001A68C7"/>
    <w:rsid w:val="001A6F16"/>
    <w:rsid w:val="001A6FD9"/>
    <w:rsid w:val="001A71DE"/>
    <w:rsid w:val="001A7467"/>
    <w:rsid w:val="001A74AC"/>
    <w:rsid w:val="001A7586"/>
    <w:rsid w:val="001A7644"/>
    <w:rsid w:val="001A7A15"/>
    <w:rsid w:val="001A7E63"/>
    <w:rsid w:val="001A7E93"/>
    <w:rsid w:val="001B126E"/>
    <w:rsid w:val="001B18C3"/>
    <w:rsid w:val="001B21C4"/>
    <w:rsid w:val="001B2537"/>
    <w:rsid w:val="001B2646"/>
    <w:rsid w:val="001B38A4"/>
    <w:rsid w:val="001B41AD"/>
    <w:rsid w:val="001B5326"/>
    <w:rsid w:val="001B553E"/>
    <w:rsid w:val="001B5EBF"/>
    <w:rsid w:val="001B65F7"/>
    <w:rsid w:val="001B6882"/>
    <w:rsid w:val="001B707D"/>
    <w:rsid w:val="001B78A9"/>
    <w:rsid w:val="001C2237"/>
    <w:rsid w:val="001C2822"/>
    <w:rsid w:val="001C2E78"/>
    <w:rsid w:val="001C34FA"/>
    <w:rsid w:val="001C378A"/>
    <w:rsid w:val="001C52DE"/>
    <w:rsid w:val="001C55C2"/>
    <w:rsid w:val="001C57BF"/>
    <w:rsid w:val="001C5BF1"/>
    <w:rsid w:val="001C5FAF"/>
    <w:rsid w:val="001D08FE"/>
    <w:rsid w:val="001D1093"/>
    <w:rsid w:val="001D1283"/>
    <w:rsid w:val="001D2379"/>
    <w:rsid w:val="001D2E8A"/>
    <w:rsid w:val="001D2F42"/>
    <w:rsid w:val="001D3191"/>
    <w:rsid w:val="001D3232"/>
    <w:rsid w:val="001D35C1"/>
    <w:rsid w:val="001D368A"/>
    <w:rsid w:val="001D3D57"/>
    <w:rsid w:val="001D3FC3"/>
    <w:rsid w:val="001D400A"/>
    <w:rsid w:val="001D56DF"/>
    <w:rsid w:val="001D5761"/>
    <w:rsid w:val="001D6403"/>
    <w:rsid w:val="001D688B"/>
    <w:rsid w:val="001D69F3"/>
    <w:rsid w:val="001D7044"/>
    <w:rsid w:val="001D7183"/>
    <w:rsid w:val="001D727F"/>
    <w:rsid w:val="001D79CA"/>
    <w:rsid w:val="001D7BEB"/>
    <w:rsid w:val="001D7F32"/>
    <w:rsid w:val="001E1614"/>
    <w:rsid w:val="001E1923"/>
    <w:rsid w:val="001E1B73"/>
    <w:rsid w:val="001E2288"/>
    <w:rsid w:val="001E2407"/>
    <w:rsid w:val="001E2A0D"/>
    <w:rsid w:val="001E2B9C"/>
    <w:rsid w:val="001E3A0B"/>
    <w:rsid w:val="001E44E6"/>
    <w:rsid w:val="001E4740"/>
    <w:rsid w:val="001E4B75"/>
    <w:rsid w:val="001E5058"/>
    <w:rsid w:val="001E5452"/>
    <w:rsid w:val="001E586F"/>
    <w:rsid w:val="001E5A40"/>
    <w:rsid w:val="001E5A53"/>
    <w:rsid w:val="001E5BBF"/>
    <w:rsid w:val="001E664E"/>
    <w:rsid w:val="001E67A2"/>
    <w:rsid w:val="001E6F2C"/>
    <w:rsid w:val="001F124B"/>
    <w:rsid w:val="001F15E9"/>
    <w:rsid w:val="001F16F4"/>
    <w:rsid w:val="001F1DCA"/>
    <w:rsid w:val="001F28CC"/>
    <w:rsid w:val="001F35D0"/>
    <w:rsid w:val="001F4DA9"/>
    <w:rsid w:val="001F4EAF"/>
    <w:rsid w:val="001F5946"/>
    <w:rsid w:val="001F5E2D"/>
    <w:rsid w:val="001F6FA4"/>
    <w:rsid w:val="001F6FA8"/>
    <w:rsid w:val="001F72D0"/>
    <w:rsid w:val="00201B61"/>
    <w:rsid w:val="00201FD9"/>
    <w:rsid w:val="0020217E"/>
    <w:rsid w:val="002027A0"/>
    <w:rsid w:val="0020292E"/>
    <w:rsid w:val="00202BC7"/>
    <w:rsid w:val="00203527"/>
    <w:rsid w:val="00203D6B"/>
    <w:rsid w:val="002042A1"/>
    <w:rsid w:val="002052E6"/>
    <w:rsid w:val="00205C42"/>
    <w:rsid w:val="0020613C"/>
    <w:rsid w:val="002061D2"/>
    <w:rsid w:val="0020677E"/>
    <w:rsid w:val="002073B5"/>
    <w:rsid w:val="00211269"/>
    <w:rsid w:val="00211F0E"/>
    <w:rsid w:val="0021217F"/>
    <w:rsid w:val="0021276F"/>
    <w:rsid w:val="00213244"/>
    <w:rsid w:val="002137C0"/>
    <w:rsid w:val="002138E9"/>
    <w:rsid w:val="002142FC"/>
    <w:rsid w:val="002145D5"/>
    <w:rsid w:val="00214762"/>
    <w:rsid w:val="00215763"/>
    <w:rsid w:val="002166AD"/>
    <w:rsid w:val="00216770"/>
    <w:rsid w:val="0021698D"/>
    <w:rsid w:val="00216A5D"/>
    <w:rsid w:val="002170B1"/>
    <w:rsid w:val="00217716"/>
    <w:rsid w:val="00217D39"/>
    <w:rsid w:val="00220827"/>
    <w:rsid w:val="00220B2D"/>
    <w:rsid w:val="00220BD8"/>
    <w:rsid w:val="00221BFF"/>
    <w:rsid w:val="00221D29"/>
    <w:rsid w:val="0022276D"/>
    <w:rsid w:val="00222AC0"/>
    <w:rsid w:val="0022309C"/>
    <w:rsid w:val="00223855"/>
    <w:rsid w:val="002240D4"/>
    <w:rsid w:val="002241E4"/>
    <w:rsid w:val="0022427E"/>
    <w:rsid w:val="00224AA5"/>
    <w:rsid w:val="00224AFA"/>
    <w:rsid w:val="00225168"/>
    <w:rsid w:val="002256E5"/>
    <w:rsid w:val="00225C0E"/>
    <w:rsid w:val="0022621A"/>
    <w:rsid w:val="0022637C"/>
    <w:rsid w:val="00227144"/>
    <w:rsid w:val="002278B9"/>
    <w:rsid w:val="0022794D"/>
    <w:rsid w:val="00230087"/>
    <w:rsid w:val="00230616"/>
    <w:rsid w:val="0023083B"/>
    <w:rsid w:val="00230E9A"/>
    <w:rsid w:val="0023210F"/>
    <w:rsid w:val="002327C5"/>
    <w:rsid w:val="00232F70"/>
    <w:rsid w:val="002342D2"/>
    <w:rsid w:val="0023467B"/>
    <w:rsid w:val="00234D2B"/>
    <w:rsid w:val="002350CA"/>
    <w:rsid w:val="002363DB"/>
    <w:rsid w:val="00236EC1"/>
    <w:rsid w:val="00240613"/>
    <w:rsid w:val="0024136F"/>
    <w:rsid w:val="002413CE"/>
    <w:rsid w:val="00241434"/>
    <w:rsid w:val="00241A6D"/>
    <w:rsid w:val="00241E67"/>
    <w:rsid w:val="00242334"/>
    <w:rsid w:val="002424E9"/>
    <w:rsid w:val="00242E56"/>
    <w:rsid w:val="0024350E"/>
    <w:rsid w:val="002438CF"/>
    <w:rsid w:val="00243EF5"/>
    <w:rsid w:val="002442F5"/>
    <w:rsid w:val="00245B4C"/>
    <w:rsid w:val="00245EC4"/>
    <w:rsid w:val="00246576"/>
    <w:rsid w:val="00246C1C"/>
    <w:rsid w:val="0024755E"/>
    <w:rsid w:val="002501D6"/>
    <w:rsid w:val="00250B29"/>
    <w:rsid w:val="002515C6"/>
    <w:rsid w:val="00251D1B"/>
    <w:rsid w:val="0025202F"/>
    <w:rsid w:val="0025226A"/>
    <w:rsid w:val="002522B1"/>
    <w:rsid w:val="0025302D"/>
    <w:rsid w:val="0025308E"/>
    <w:rsid w:val="00253A99"/>
    <w:rsid w:val="00255EE8"/>
    <w:rsid w:val="00256466"/>
    <w:rsid w:val="00256A57"/>
    <w:rsid w:val="00256AD2"/>
    <w:rsid w:val="00256AF5"/>
    <w:rsid w:val="00256E2C"/>
    <w:rsid w:val="00260136"/>
    <w:rsid w:val="0026042D"/>
    <w:rsid w:val="002604F9"/>
    <w:rsid w:val="00260F11"/>
    <w:rsid w:val="00261017"/>
    <w:rsid w:val="002611D1"/>
    <w:rsid w:val="00261424"/>
    <w:rsid w:val="0026180A"/>
    <w:rsid w:val="0026181E"/>
    <w:rsid w:val="00261B3C"/>
    <w:rsid w:val="00261C3D"/>
    <w:rsid w:val="00261E16"/>
    <w:rsid w:val="002620E7"/>
    <w:rsid w:val="00262801"/>
    <w:rsid w:val="0026284E"/>
    <w:rsid w:val="00263816"/>
    <w:rsid w:val="0026391D"/>
    <w:rsid w:val="0026444F"/>
    <w:rsid w:val="00264BF0"/>
    <w:rsid w:val="00264F18"/>
    <w:rsid w:val="002662A0"/>
    <w:rsid w:val="00267356"/>
    <w:rsid w:val="00267EC0"/>
    <w:rsid w:val="0027003E"/>
    <w:rsid w:val="0027024A"/>
    <w:rsid w:val="00270266"/>
    <w:rsid w:val="00270289"/>
    <w:rsid w:val="002703E2"/>
    <w:rsid w:val="00270E25"/>
    <w:rsid w:val="0027121D"/>
    <w:rsid w:val="00272425"/>
    <w:rsid w:val="00273032"/>
    <w:rsid w:val="00273307"/>
    <w:rsid w:val="00273489"/>
    <w:rsid w:val="00274135"/>
    <w:rsid w:val="002742F9"/>
    <w:rsid w:val="0027445E"/>
    <w:rsid w:val="002748C9"/>
    <w:rsid w:val="00274C5A"/>
    <w:rsid w:val="00275134"/>
    <w:rsid w:val="00275393"/>
    <w:rsid w:val="0027647E"/>
    <w:rsid w:val="00276FE8"/>
    <w:rsid w:val="0028103D"/>
    <w:rsid w:val="002810BF"/>
    <w:rsid w:val="002815A0"/>
    <w:rsid w:val="002815B7"/>
    <w:rsid w:val="00282287"/>
    <w:rsid w:val="0028246C"/>
    <w:rsid w:val="002836C5"/>
    <w:rsid w:val="00283C3A"/>
    <w:rsid w:val="00284303"/>
    <w:rsid w:val="00284A10"/>
    <w:rsid w:val="00284F5D"/>
    <w:rsid w:val="00284FEA"/>
    <w:rsid w:val="00286C20"/>
    <w:rsid w:val="00286F0E"/>
    <w:rsid w:val="0028752F"/>
    <w:rsid w:val="002877C5"/>
    <w:rsid w:val="002877FB"/>
    <w:rsid w:val="002878DB"/>
    <w:rsid w:val="002901F8"/>
    <w:rsid w:val="0029096B"/>
    <w:rsid w:val="00291190"/>
    <w:rsid w:val="00291770"/>
    <w:rsid w:val="00291C16"/>
    <w:rsid w:val="00291D27"/>
    <w:rsid w:val="00291F17"/>
    <w:rsid w:val="00293D9B"/>
    <w:rsid w:val="0029496B"/>
    <w:rsid w:val="00294E45"/>
    <w:rsid w:val="0029543A"/>
    <w:rsid w:val="00295556"/>
    <w:rsid w:val="00295B55"/>
    <w:rsid w:val="00295FC7"/>
    <w:rsid w:val="00296054"/>
    <w:rsid w:val="00296531"/>
    <w:rsid w:val="00297398"/>
    <w:rsid w:val="00297991"/>
    <w:rsid w:val="00297AAD"/>
    <w:rsid w:val="002A065F"/>
    <w:rsid w:val="002A0815"/>
    <w:rsid w:val="002A0F26"/>
    <w:rsid w:val="002A1313"/>
    <w:rsid w:val="002A1D1A"/>
    <w:rsid w:val="002A26D9"/>
    <w:rsid w:val="002A26E1"/>
    <w:rsid w:val="002A2A38"/>
    <w:rsid w:val="002A2EA2"/>
    <w:rsid w:val="002A33B0"/>
    <w:rsid w:val="002A471A"/>
    <w:rsid w:val="002A4AA6"/>
    <w:rsid w:val="002A51C1"/>
    <w:rsid w:val="002A5712"/>
    <w:rsid w:val="002A594E"/>
    <w:rsid w:val="002A5D72"/>
    <w:rsid w:val="002A5E3D"/>
    <w:rsid w:val="002A70A9"/>
    <w:rsid w:val="002A77AF"/>
    <w:rsid w:val="002B04CD"/>
    <w:rsid w:val="002B0797"/>
    <w:rsid w:val="002B0837"/>
    <w:rsid w:val="002B0EB3"/>
    <w:rsid w:val="002B29B9"/>
    <w:rsid w:val="002B3987"/>
    <w:rsid w:val="002B3D2C"/>
    <w:rsid w:val="002B42C5"/>
    <w:rsid w:val="002B581E"/>
    <w:rsid w:val="002B6517"/>
    <w:rsid w:val="002B7057"/>
    <w:rsid w:val="002C046E"/>
    <w:rsid w:val="002C04B5"/>
    <w:rsid w:val="002C059F"/>
    <w:rsid w:val="002C0CCC"/>
    <w:rsid w:val="002C1E99"/>
    <w:rsid w:val="002C223C"/>
    <w:rsid w:val="002C22F2"/>
    <w:rsid w:val="002C27D9"/>
    <w:rsid w:val="002C2E0C"/>
    <w:rsid w:val="002C3B86"/>
    <w:rsid w:val="002C45EF"/>
    <w:rsid w:val="002C4745"/>
    <w:rsid w:val="002C49A1"/>
    <w:rsid w:val="002C516E"/>
    <w:rsid w:val="002C5370"/>
    <w:rsid w:val="002C5AFA"/>
    <w:rsid w:val="002C5DA2"/>
    <w:rsid w:val="002C5ECC"/>
    <w:rsid w:val="002C6585"/>
    <w:rsid w:val="002C75C7"/>
    <w:rsid w:val="002D08CE"/>
    <w:rsid w:val="002D0B6E"/>
    <w:rsid w:val="002D0C79"/>
    <w:rsid w:val="002D1DAF"/>
    <w:rsid w:val="002D26D9"/>
    <w:rsid w:val="002D2727"/>
    <w:rsid w:val="002D2770"/>
    <w:rsid w:val="002D347F"/>
    <w:rsid w:val="002D421A"/>
    <w:rsid w:val="002D4229"/>
    <w:rsid w:val="002D44BE"/>
    <w:rsid w:val="002D470B"/>
    <w:rsid w:val="002D48DF"/>
    <w:rsid w:val="002D4E46"/>
    <w:rsid w:val="002D5C7E"/>
    <w:rsid w:val="002D6373"/>
    <w:rsid w:val="002D64EF"/>
    <w:rsid w:val="002D73AC"/>
    <w:rsid w:val="002D7578"/>
    <w:rsid w:val="002D7ABC"/>
    <w:rsid w:val="002D7D93"/>
    <w:rsid w:val="002E111C"/>
    <w:rsid w:val="002E111D"/>
    <w:rsid w:val="002E1182"/>
    <w:rsid w:val="002E1214"/>
    <w:rsid w:val="002E1F5F"/>
    <w:rsid w:val="002E2CC4"/>
    <w:rsid w:val="002E3817"/>
    <w:rsid w:val="002E450E"/>
    <w:rsid w:val="002E4F6D"/>
    <w:rsid w:val="002E64CE"/>
    <w:rsid w:val="002E65CB"/>
    <w:rsid w:val="002E6891"/>
    <w:rsid w:val="002E6A34"/>
    <w:rsid w:val="002E6A37"/>
    <w:rsid w:val="002F0E49"/>
    <w:rsid w:val="002F15CC"/>
    <w:rsid w:val="002F1DA8"/>
    <w:rsid w:val="002F26FB"/>
    <w:rsid w:val="002F27DD"/>
    <w:rsid w:val="002F2CCB"/>
    <w:rsid w:val="002F406C"/>
    <w:rsid w:val="002F416D"/>
    <w:rsid w:val="002F45E2"/>
    <w:rsid w:val="002F484A"/>
    <w:rsid w:val="002F5CA2"/>
    <w:rsid w:val="002F6317"/>
    <w:rsid w:val="002F7376"/>
    <w:rsid w:val="002F7695"/>
    <w:rsid w:val="002F7774"/>
    <w:rsid w:val="002F7A26"/>
    <w:rsid w:val="003008A7"/>
    <w:rsid w:val="003019F7"/>
    <w:rsid w:val="00302B3E"/>
    <w:rsid w:val="00303029"/>
    <w:rsid w:val="00303D5C"/>
    <w:rsid w:val="003049A0"/>
    <w:rsid w:val="00304AB0"/>
    <w:rsid w:val="003053AC"/>
    <w:rsid w:val="003057CA"/>
    <w:rsid w:val="0030580C"/>
    <w:rsid w:val="003058A2"/>
    <w:rsid w:val="00306070"/>
    <w:rsid w:val="003069EA"/>
    <w:rsid w:val="00306D82"/>
    <w:rsid w:val="0031008F"/>
    <w:rsid w:val="00310350"/>
    <w:rsid w:val="0031047D"/>
    <w:rsid w:val="00312B1F"/>
    <w:rsid w:val="00312F75"/>
    <w:rsid w:val="00314231"/>
    <w:rsid w:val="00314F6D"/>
    <w:rsid w:val="0031584B"/>
    <w:rsid w:val="00315D47"/>
    <w:rsid w:val="00315F8A"/>
    <w:rsid w:val="003164BA"/>
    <w:rsid w:val="00316868"/>
    <w:rsid w:val="00316928"/>
    <w:rsid w:val="00316A35"/>
    <w:rsid w:val="00316F27"/>
    <w:rsid w:val="00316F6F"/>
    <w:rsid w:val="0031747E"/>
    <w:rsid w:val="00320FE4"/>
    <w:rsid w:val="00321B25"/>
    <w:rsid w:val="00321C04"/>
    <w:rsid w:val="00321ECD"/>
    <w:rsid w:val="003224BB"/>
    <w:rsid w:val="003224D7"/>
    <w:rsid w:val="003228BC"/>
    <w:rsid w:val="00322ABF"/>
    <w:rsid w:val="00322BF1"/>
    <w:rsid w:val="003231FD"/>
    <w:rsid w:val="00326BDA"/>
    <w:rsid w:val="00326CF9"/>
    <w:rsid w:val="00327AF1"/>
    <w:rsid w:val="00327C08"/>
    <w:rsid w:val="00330616"/>
    <w:rsid w:val="0033114B"/>
    <w:rsid w:val="0033151D"/>
    <w:rsid w:val="0033194D"/>
    <w:rsid w:val="00332651"/>
    <w:rsid w:val="00332989"/>
    <w:rsid w:val="00333AF3"/>
    <w:rsid w:val="003341DF"/>
    <w:rsid w:val="00334BD4"/>
    <w:rsid w:val="00334CE0"/>
    <w:rsid w:val="00334D46"/>
    <w:rsid w:val="00335009"/>
    <w:rsid w:val="00335304"/>
    <w:rsid w:val="003366AD"/>
    <w:rsid w:val="00336B59"/>
    <w:rsid w:val="003401F5"/>
    <w:rsid w:val="0034052D"/>
    <w:rsid w:val="00341057"/>
    <w:rsid w:val="00341589"/>
    <w:rsid w:val="0034184C"/>
    <w:rsid w:val="00341AD3"/>
    <w:rsid w:val="00341D31"/>
    <w:rsid w:val="00341DBB"/>
    <w:rsid w:val="00342745"/>
    <w:rsid w:val="00342C8F"/>
    <w:rsid w:val="00342F62"/>
    <w:rsid w:val="00343CED"/>
    <w:rsid w:val="00345872"/>
    <w:rsid w:val="00345D4F"/>
    <w:rsid w:val="0034652E"/>
    <w:rsid w:val="0034765D"/>
    <w:rsid w:val="00347901"/>
    <w:rsid w:val="003479A1"/>
    <w:rsid w:val="00347C78"/>
    <w:rsid w:val="00347CFF"/>
    <w:rsid w:val="00350344"/>
    <w:rsid w:val="00350E0B"/>
    <w:rsid w:val="00351040"/>
    <w:rsid w:val="003513C9"/>
    <w:rsid w:val="00351547"/>
    <w:rsid w:val="00352741"/>
    <w:rsid w:val="00353178"/>
    <w:rsid w:val="003532BF"/>
    <w:rsid w:val="00353C25"/>
    <w:rsid w:val="00355ACF"/>
    <w:rsid w:val="00355C09"/>
    <w:rsid w:val="00355DF9"/>
    <w:rsid w:val="00355EF8"/>
    <w:rsid w:val="00355F38"/>
    <w:rsid w:val="00356056"/>
    <w:rsid w:val="00356139"/>
    <w:rsid w:val="003561D0"/>
    <w:rsid w:val="0035657F"/>
    <w:rsid w:val="00357B83"/>
    <w:rsid w:val="00357CA1"/>
    <w:rsid w:val="00360AAB"/>
    <w:rsid w:val="00361271"/>
    <w:rsid w:val="003613EA"/>
    <w:rsid w:val="00363DA7"/>
    <w:rsid w:val="00363F7E"/>
    <w:rsid w:val="00364F6A"/>
    <w:rsid w:val="00365127"/>
    <w:rsid w:val="0036593D"/>
    <w:rsid w:val="00366585"/>
    <w:rsid w:val="0036693C"/>
    <w:rsid w:val="00367085"/>
    <w:rsid w:val="00370436"/>
    <w:rsid w:val="003711DE"/>
    <w:rsid w:val="00371548"/>
    <w:rsid w:val="00371F8B"/>
    <w:rsid w:val="00372489"/>
    <w:rsid w:val="00373A77"/>
    <w:rsid w:val="00373FFC"/>
    <w:rsid w:val="003745A4"/>
    <w:rsid w:val="003747D9"/>
    <w:rsid w:val="003749FA"/>
    <w:rsid w:val="00374A55"/>
    <w:rsid w:val="00374FEB"/>
    <w:rsid w:val="0037537F"/>
    <w:rsid w:val="00375BEB"/>
    <w:rsid w:val="00375CFC"/>
    <w:rsid w:val="003760C3"/>
    <w:rsid w:val="0037612B"/>
    <w:rsid w:val="00376453"/>
    <w:rsid w:val="00376D1F"/>
    <w:rsid w:val="00377019"/>
    <w:rsid w:val="003772A1"/>
    <w:rsid w:val="003772ED"/>
    <w:rsid w:val="003775B0"/>
    <w:rsid w:val="003775E6"/>
    <w:rsid w:val="003778C1"/>
    <w:rsid w:val="00377BE7"/>
    <w:rsid w:val="00377C51"/>
    <w:rsid w:val="00380260"/>
    <w:rsid w:val="00380B8F"/>
    <w:rsid w:val="00380C40"/>
    <w:rsid w:val="00380FAE"/>
    <w:rsid w:val="00381519"/>
    <w:rsid w:val="0038178D"/>
    <w:rsid w:val="00382368"/>
    <w:rsid w:val="0038236E"/>
    <w:rsid w:val="00382555"/>
    <w:rsid w:val="00382622"/>
    <w:rsid w:val="00382969"/>
    <w:rsid w:val="00382A26"/>
    <w:rsid w:val="00382F22"/>
    <w:rsid w:val="0038359F"/>
    <w:rsid w:val="00383D08"/>
    <w:rsid w:val="00383F60"/>
    <w:rsid w:val="00384818"/>
    <w:rsid w:val="00384DD4"/>
    <w:rsid w:val="003852B0"/>
    <w:rsid w:val="00385856"/>
    <w:rsid w:val="003858C4"/>
    <w:rsid w:val="00385B45"/>
    <w:rsid w:val="00385F3A"/>
    <w:rsid w:val="00386A7D"/>
    <w:rsid w:val="00386C12"/>
    <w:rsid w:val="00387AA3"/>
    <w:rsid w:val="003908AD"/>
    <w:rsid w:val="00390DB2"/>
    <w:rsid w:val="00390F74"/>
    <w:rsid w:val="00390FDD"/>
    <w:rsid w:val="00391C49"/>
    <w:rsid w:val="00391F0F"/>
    <w:rsid w:val="00392F22"/>
    <w:rsid w:val="0039348B"/>
    <w:rsid w:val="0039423D"/>
    <w:rsid w:val="003944B6"/>
    <w:rsid w:val="0039469D"/>
    <w:rsid w:val="003961FD"/>
    <w:rsid w:val="00396657"/>
    <w:rsid w:val="00397608"/>
    <w:rsid w:val="003A0462"/>
    <w:rsid w:val="003A13CB"/>
    <w:rsid w:val="003A1749"/>
    <w:rsid w:val="003A1A37"/>
    <w:rsid w:val="003A1BED"/>
    <w:rsid w:val="003A24BB"/>
    <w:rsid w:val="003A36AC"/>
    <w:rsid w:val="003A3970"/>
    <w:rsid w:val="003A3A5B"/>
    <w:rsid w:val="003A5F15"/>
    <w:rsid w:val="003A60EE"/>
    <w:rsid w:val="003A733F"/>
    <w:rsid w:val="003A7A47"/>
    <w:rsid w:val="003A7E44"/>
    <w:rsid w:val="003B0266"/>
    <w:rsid w:val="003B06E5"/>
    <w:rsid w:val="003B2395"/>
    <w:rsid w:val="003B2549"/>
    <w:rsid w:val="003B28C8"/>
    <w:rsid w:val="003B2916"/>
    <w:rsid w:val="003B296D"/>
    <w:rsid w:val="003B2AF9"/>
    <w:rsid w:val="003B3223"/>
    <w:rsid w:val="003B3310"/>
    <w:rsid w:val="003B423F"/>
    <w:rsid w:val="003B4CCE"/>
    <w:rsid w:val="003B5AEA"/>
    <w:rsid w:val="003B5E3C"/>
    <w:rsid w:val="003B6744"/>
    <w:rsid w:val="003B6926"/>
    <w:rsid w:val="003B695E"/>
    <w:rsid w:val="003B6CF1"/>
    <w:rsid w:val="003B7D4D"/>
    <w:rsid w:val="003C060C"/>
    <w:rsid w:val="003C0B82"/>
    <w:rsid w:val="003C0D5C"/>
    <w:rsid w:val="003C1083"/>
    <w:rsid w:val="003C175B"/>
    <w:rsid w:val="003C1B6C"/>
    <w:rsid w:val="003C2832"/>
    <w:rsid w:val="003C2B8D"/>
    <w:rsid w:val="003C387E"/>
    <w:rsid w:val="003C3AD9"/>
    <w:rsid w:val="003C3CB0"/>
    <w:rsid w:val="003C4E5C"/>
    <w:rsid w:val="003C5240"/>
    <w:rsid w:val="003C5253"/>
    <w:rsid w:val="003C59D2"/>
    <w:rsid w:val="003C6043"/>
    <w:rsid w:val="003C6356"/>
    <w:rsid w:val="003C6BFC"/>
    <w:rsid w:val="003D01E7"/>
    <w:rsid w:val="003D0733"/>
    <w:rsid w:val="003D0B99"/>
    <w:rsid w:val="003D107F"/>
    <w:rsid w:val="003D188B"/>
    <w:rsid w:val="003D1974"/>
    <w:rsid w:val="003D1D07"/>
    <w:rsid w:val="003D2524"/>
    <w:rsid w:val="003D3976"/>
    <w:rsid w:val="003D3EB7"/>
    <w:rsid w:val="003D5030"/>
    <w:rsid w:val="003D5074"/>
    <w:rsid w:val="003D5474"/>
    <w:rsid w:val="003D55C9"/>
    <w:rsid w:val="003D5630"/>
    <w:rsid w:val="003D6065"/>
    <w:rsid w:val="003D6291"/>
    <w:rsid w:val="003D70EE"/>
    <w:rsid w:val="003D7637"/>
    <w:rsid w:val="003D7F22"/>
    <w:rsid w:val="003E0519"/>
    <w:rsid w:val="003E0804"/>
    <w:rsid w:val="003E0808"/>
    <w:rsid w:val="003E0899"/>
    <w:rsid w:val="003E0FE8"/>
    <w:rsid w:val="003E1619"/>
    <w:rsid w:val="003E1814"/>
    <w:rsid w:val="003E1D6E"/>
    <w:rsid w:val="003E2511"/>
    <w:rsid w:val="003E2610"/>
    <w:rsid w:val="003E28F4"/>
    <w:rsid w:val="003E3528"/>
    <w:rsid w:val="003E40EF"/>
    <w:rsid w:val="003E4F5C"/>
    <w:rsid w:val="003E5656"/>
    <w:rsid w:val="003E57C0"/>
    <w:rsid w:val="003E65AE"/>
    <w:rsid w:val="003E66C8"/>
    <w:rsid w:val="003E671D"/>
    <w:rsid w:val="003E67CF"/>
    <w:rsid w:val="003E6A7F"/>
    <w:rsid w:val="003E6C57"/>
    <w:rsid w:val="003E6CD9"/>
    <w:rsid w:val="003E6FBB"/>
    <w:rsid w:val="003E7483"/>
    <w:rsid w:val="003E7A88"/>
    <w:rsid w:val="003E7AB4"/>
    <w:rsid w:val="003F02F2"/>
    <w:rsid w:val="003F0A46"/>
    <w:rsid w:val="003F0C63"/>
    <w:rsid w:val="003F29F8"/>
    <w:rsid w:val="003F2F4F"/>
    <w:rsid w:val="003F3B7A"/>
    <w:rsid w:val="003F3E18"/>
    <w:rsid w:val="003F3FB9"/>
    <w:rsid w:val="003F4FE6"/>
    <w:rsid w:val="003F594B"/>
    <w:rsid w:val="003F67E3"/>
    <w:rsid w:val="003F6A33"/>
    <w:rsid w:val="003F6BCA"/>
    <w:rsid w:val="003F7804"/>
    <w:rsid w:val="003F7F7B"/>
    <w:rsid w:val="004002FC"/>
    <w:rsid w:val="004009B0"/>
    <w:rsid w:val="0040117A"/>
    <w:rsid w:val="0040126C"/>
    <w:rsid w:val="004013FF"/>
    <w:rsid w:val="00401947"/>
    <w:rsid w:val="00401CF9"/>
    <w:rsid w:val="004025F6"/>
    <w:rsid w:val="00402634"/>
    <w:rsid w:val="00402735"/>
    <w:rsid w:val="00402CB4"/>
    <w:rsid w:val="00403379"/>
    <w:rsid w:val="00404B78"/>
    <w:rsid w:val="004051CC"/>
    <w:rsid w:val="00405405"/>
    <w:rsid w:val="004060E2"/>
    <w:rsid w:val="00406B5B"/>
    <w:rsid w:val="00406CF7"/>
    <w:rsid w:val="00407262"/>
    <w:rsid w:val="004110DA"/>
    <w:rsid w:val="0041113A"/>
    <w:rsid w:val="004113AC"/>
    <w:rsid w:val="00411830"/>
    <w:rsid w:val="00411B96"/>
    <w:rsid w:val="004122F9"/>
    <w:rsid w:val="00412726"/>
    <w:rsid w:val="004132FC"/>
    <w:rsid w:val="004136EE"/>
    <w:rsid w:val="00414628"/>
    <w:rsid w:val="0041632C"/>
    <w:rsid w:val="00416B18"/>
    <w:rsid w:val="004202F5"/>
    <w:rsid w:val="004205FE"/>
    <w:rsid w:val="004206EC"/>
    <w:rsid w:val="00420C02"/>
    <w:rsid w:val="00420DE6"/>
    <w:rsid w:val="004214A5"/>
    <w:rsid w:val="00421D3A"/>
    <w:rsid w:val="00422349"/>
    <w:rsid w:val="00422785"/>
    <w:rsid w:val="00422A51"/>
    <w:rsid w:val="00422C34"/>
    <w:rsid w:val="00422C81"/>
    <w:rsid w:val="00423412"/>
    <w:rsid w:val="004240A1"/>
    <w:rsid w:val="004244E3"/>
    <w:rsid w:val="00424A60"/>
    <w:rsid w:val="0042649A"/>
    <w:rsid w:val="00427669"/>
    <w:rsid w:val="00427D64"/>
    <w:rsid w:val="00427E57"/>
    <w:rsid w:val="00427F81"/>
    <w:rsid w:val="004300B9"/>
    <w:rsid w:val="004307CA"/>
    <w:rsid w:val="00430B37"/>
    <w:rsid w:val="00430CCA"/>
    <w:rsid w:val="0043180F"/>
    <w:rsid w:val="004318E7"/>
    <w:rsid w:val="0043191E"/>
    <w:rsid w:val="004319AA"/>
    <w:rsid w:val="004321D5"/>
    <w:rsid w:val="00433353"/>
    <w:rsid w:val="004334FA"/>
    <w:rsid w:val="004343DC"/>
    <w:rsid w:val="0043621C"/>
    <w:rsid w:val="00436BD5"/>
    <w:rsid w:val="0043720C"/>
    <w:rsid w:val="00437AFA"/>
    <w:rsid w:val="0044029A"/>
    <w:rsid w:val="00440635"/>
    <w:rsid w:val="00440A52"/>
    <w:rsid w:val="00441038"/>
    <w:rsid w:val="004417AC"/>
    <w:rsid w:val="00441BD2"/>
    <w:rsid w:val="00441CC8"/>
    <w:rsid w:val="00442D8A"/>
    <w:rsid w:val="00442DDE"/>
    <w:rsid w:val="0044343D"/>
    <w:rsid w:val="00443BC1"/>
    <w:rsid w:val="00445CE1"/>
    <w:rsid w:val="00446220"/>
    <w:rsid w:val="00446946"/>
    <w:rsid w:val="0044705F"/>
    <w:rsid w:val="004476A0"/>
    <w:rsid w:val="0044783D"/>
    <w:rsid w:val="004478BC"/>
    <w:rsid w:val="00447E08"/>
    <w:rsid w:val="0045062F"/>
    <w:rsid w:val="0045094C"/>
    <w:rsid w:val="00451737"/>
    <w:rsid w:val="0045230E"/>
    <w:rsid w:val="00452C2C"/>
    <w:rsid w:val="0045377E"/>
    <w:rsid w:val="0045495B"/>
    <w:rsid w:val="004549DE"/>
    <w:rsid w:val="00454CD3"/>
    <w:rsid w:val="0045688A"/>
    <w:rsid w:val="00456CE0"/>
    <w:rsid w:val="00457198"/>
    <w:rsid w:val="004574AE"/>
    <w:rsid w:val="004600EF"/>
    <w:rsid w:val="00460490"/>
    <w:rsid w:val="00460529"/>
    <w:rsid w:val="00461B69"/>
    <w:rsid w:val="00461EF1"/>
    <w:rsid w:val="00462F80"/>
    <w:rsid w:val="0046329B"/>
    <w:rsid w:val="004649D8"/>
    <w:rsid w:val="00465101"/>
    <w:rsid w:val="004652AD"/>
    <w:rsid w:val="00466B2D"/>
    <w:rsid w:val="00466D7D"/>
    <w:rsid w:val="00470814"/>
    <w:rsid w:val="00470887"/>
    <w:rsid w:val="004708E7"/>
    <w:rsid w:val="00470CBE"/>
    <w:rsid w:val="00472BFB"/>
    <w:rsid w:val="00472DF8"/>
    <w:rsid w:val="00472FFE"/>
    <w:rsid w:val="0047370C"/>
    <w:rsid w:val="00474D39"/>
    <w:rsid w:val="00474D6A"/>
    <w:rsid w:val="0047531A"/>
    <w:rsid w:val="00475341"/>
    <w:rsid w:val="004755BF"/>
    <w:rsid w:val="00475B81"/>
    <w:rsid w:val="00475F3F"/>
    <w:rsid w:val="0047684A"/>
    <w:rsid w:val="00476B7A"/>
    <w:rsid w:val="0047724C"/>
    <w:rsid w:val="0047739D"/>
    <w:rsid w:val="004803C2"/>
    <w:rsid w:val="004809B4"/>
    <w:rsid w:val="00480B0B"/>
    <w:rsid w:val="00480E03"/>
    <w:rsid w:val="00481018"/>
    <w:rsid w:val="0048173E"/>
    <w:rsid w:val="00482D4C"/>
    <w:rsid w:val="00482E1B"/>
    <w:rsid w:val="004832FF"/>
    <w:rsid w:val="0048382B"/>
    <w:rsid w:val="00483C9E"/>
    <w:rsid w:val="00484E4B"/>
    <w:rsid w:val="00484FEE"/>
    <w:rsid w:val="00485028"/>
    <w:rsid w:val="0048580A"/>
    <w:rsid w:val="00485AF0"/>
    <w:rsid w:val="00485BA8"/>
    <w:rsid w:val="0048670E"/>
    <w:rsid w:val="004868F2"/>
    <w:rsid w:val="00486A14"/>
    <w:rsid w:val="00487B93"/>
    <w:rsid w:val="00487E05"/>
    <w:rsid w:val="00487EBB"/>
    <w:rsid w:val="004900C1"/>
    <w:rsid w:val="00490536"/>
    <w:rsid w:val="004905BA"/>
    <w:rsid w:val="00491718"/>
    <w:rsid w:val="00491EAB"/>
    <w:rsid w:val="00492417"/>
    <w:rsid w:val="0049297F"/>
    <w:rsid w:val="00493BE4"/>
    <w:rsid w:val="00493C1E"/>
    <w:rsid w:val="00493D51"/>
    <w:rsid w:val="00493F53"/>
    <w:rsid w:val="0049428F"/>
    <w:rsid w:val="0049478A"/>
    <w:rsid w:val="004948A8"/>
    <w:rsid w:val="00494BA0"/>
    <w:rsid w:val="0049528D"/>
    <w:rsid w:val="004960CE"/>
    <w:rsid w:val="00496820"/>
    <w:rsid w:val="004A006E"/>
    <w:rsid w:val="004A0CD7"/>
    <w:rsid w:val="004A0D1A"/>
    <w:rsid w:val="004A244E"/>
    <w:rsid w:val="004A2657"/>
    <w:rsid w:val="004A3A24"/>
    <w:rsid w:val="004A3A94"/>
    <w:rsid w:val="004A4579"/>
    <w:rsid w:val="004A49E9"/>
    <w:rsid w:val="004A51B9"/>
    <w:rsid w:val="004A5333"/>
    <w:rsid w:val="004A5C56"/>
    <w:rsid w:val="004A5DFC"/>
    <w:rsid w:val="004A6473"/>
    <w:rsid w:val="004A72B3"/>
    <w:rsid w:val="004A7A7D"/>
    <w:rsid w:val="004A7F49"/>
    <w:rsid w:val="004B05A6"/>
    <w:rsid w:val="004B0D7A"/>
    <w:rsid w:val="004B1455"/>
    <w:rsid w:val="004B1573"/>
    <w:rsid w:val="004B2986"/>
    <w:rsid w:val="004B2EC5"/>
    <w:rsid w:val="004B31AB"/>
    <w:rsid w:val="004B3374"/>
    <w:rsid w:val="004B343E"/>
    <w:rsid w:val="004B3CE0"/>
    <w:rsid w:val="004B426F"/>
    <w:rsid w:val="004B4DE1"/>
    <w:rsid w:val="004B54D1"/>
    <w:rsid w:val="004B59C4"/>
    <w:rsid w:val="004B5CF9"/>
    <w:rsid w:val="004B5EEC"/>
    <w:rsid w:val="004B5F6D"/>
    <w:rsid w:val="004B60A1"/>
    <w:rsid w:val="004B6AA6"/>
    <w:rsid w:val="004B6AEC"/>
    <w:rsid w:val="004B6C03"/>
    <w:rsid w:val="004B7904"/>
    <w:rsid w:val="004C02FA"/>
    <w:rsid w:val="004C030B"/>
    <w:rsid w:val="004C0FEF"/>
    <w:rsid w:val="004C12B4"/>
    <w:rsid w:val="004C2375"/>
    <w:rsid w:val="004C2429"/>
    <w:rsid w:val="004C2870"/>
    <w:rsid w:val="004C42C9"/>
    <w:rsid w:val="004C43AF"/>
    <w:rsid w:val="004C48C6"/>
    <w:rsid w:val="004C4C39"/>
    <w:rsid w:val="004C4F54"/>
    <w:rsid w:val="004C4FE8"/>
    <w:rsid w:val="004C52FF"/>
    <w:rsid w:val="004C5451"/>
    <w:rsid w:val="004C5715"/>
    <w:rsid w:val="004C74ED"/>
    <w:rsid w:val="004C756C"/>
    <w:rsid w:val="004C79BE"/>
    <w:rsid w:val="004C7B61"/>
    <w:rsid w:val="004C7E5F"/>
    <w:rsid w:val="004D092D"/>
    <w:rsid w:val="004D1163"/>
    <w:rsid w:val="004D1381"/>
    <w:rsid w:val="004D1B59"/>
    <w:rsid w:val="004D1B72"/>
    <w:rsid w:val="004D1D9E"/>
    <w:rsid w:val="004D1EE0"/>
    <w:rsid w:val="004D2A3E"/>
    <w:rsid w:val="004D3EDF"/>
    <w:rsid w:val="004D4103"/>
    <w:rsid w:val="004D42C2"/>
    <w:rsid w:val="004D42F3"/>
    <w:rsid w:val="004D4BE0"/>
    <w:rsid w:val="004D4C64"/>
    <w:rsid w:val="004D50D1"/>
    <w:rsid w:val="004D5191"/>
    <w:rsid w:val="004D619C"/>
    <w:rsid w:val="004D61B9"/>
    <w:rsid w:val="004D6349"/>
    <w:rsid w:val="004D6BE4"/>
    <w:rsid w:val="004D7026"/>
    <w:rsid w:val="004D727D"/>
    <w:rsid w:val="004E0871"/>
    <w:rsid w:val="004E0BBD"/>
    <w:rsid w:val="004E0E80"/>
    <w:rsid w:val="004E1765"/>
    <w:rsid w:val="004E200B"/>
    <w:rsid w:val="004E231D"/>
    <w:rsid w:val="004E24D6"/>
    <w:rsid w:val="004E48DF"/>
    <w:rsid w:val="004E4943"/>
    <w:rsid w:val="004E6666"/>
    <w:rsid w:val="004E68E0"/>
    <w:rsid w:val="004E7F62"/>
    <w:rsid w:val="004F077F"/>
    <w:rsid w:val="004F0AD4"/>
    <w:rsid w:val="004F0C29"/>
    <w:rsid w:val="004F1159"/>
    <w:rsid w:val="004F1550"/>
    <w:rsid w:val="004F17AF"/>
    <w:rsid w:val="004F17D6"/>
    <w:rsid w:val="004F1ABA"/>
    <w:rsid w:val="004F20E6"/>
    <w:rsid w:val="004F21FE"/>
    <w:rsid w:val="004F29F4"/>
    <w:rsid w:val="004F29FF"/>
    <w:rsid w:val="004F2D07"/>
    <w:rsid w:val="004F3318"/>
    <w:rsid w:val="004F3879"/>
    <w:rsid w:val="004F3A47"/>
    <w:rsid w:val="004F4310"/>
    <w:rsid w:val="004F59C9"/>
    <w:rsid w:val="004F7819"/>
    <w:rsid w:val="00500019"/>
    <w:rsid w:val="005006F1"/>
    <w:rsid w:val="0050135B"/>
    <w:rsid w:val="005014C4"/>
    <w:rsid w:val="0050181A"/>
    <w:rsid w:val="00501DDF"/>
    <w:rsid w:val="00502294"/>
    <w:rsid w:val="00502606"/>
    <w:rsid w:val="00503C6E"/>
    <w:rsid w:val="00503EF2"/>
    <w:rsid w:val="00503FBC"/>
    <w:rsid w:val="00504227"/>
    <w:rsid w:val="00504B88"/>
    <w:rsid w:val="005050C4"/>
    <w:rsid w:val="0050511C"/>
    <w:rsid w:val="005052B9"/>
    <w:rsid w:val="00505417"/>
    <w:rsid w:val="00505E66"/>
    <w:rsid w:val="005066A6"/>
    <w:rsid w:val="005069AE"/>
    <w:rsid w:val="00506C63"/>
    <w:rsid w:val="00507D23"/>
    <w:rsid w:val="00510015"/>
    <w:rsid w:val="0051008A"/>
    <w:rsid w:val="0051031D"/>
    <w:rsid w:val="005103C7"/>
    <w:rsid w:val="00510CA8"/>
    <w:rsid w:val="00511C21"/>
    <w:rsid w:val="00512187"/>
    <w:rsid w:val="005124A6"/>
    <w:rsid w:val="005127E7"/>
    <w:rsid w:val="00512A26"/>
    <w:rsid w:val="00512CC9"/>
    <w:rsid w:val="0051314F"/>
    <w:rsid w:val="0051339F"/>
    <w:rsid w:val="00513AB3"/>
    <w:rsid w:val="0051436C"/>
    <w:rsid w:val="005144A4"/>
    <w:rsid w:val="00514CFC"/>
    <w:rsid w:val="005154D7"/>
    <w:rsid w:val="005155F0"/>
    <w:rsid w:val="00515E64"/>
    <w:rsid w:val="005164E0"/>
    <w:rsid w:val="00516536"/>
    <w:rsid w:val="005165AF"/>
    <w:rsid w:val="0051661A"/>
    <w:rsid w:val="005169F6"/>
    <w:rsid w:val="005176ED"/>
    <w:rsid w:val="00520095"/>
    <w:rsid w:val="005207DC"/>
    <w:rsid w:val="00520BA4"/>
    <w:rsid w:val="00520C0F"/>
    <w:rsid w:val="005212B1"/>
    <w:rsid w:val="005217AB"/>
    <w:rsid w:val="00521D0E"/>
    <w:rsid w:val="00521D4E"/>
    <w:rsid w:val="00522121"/>
    <w:rsid w:val="005238EC"/>
    <w:rsid w:val="00523E72"/>
    <w:rsid w:val="005252C9"/>
    <w:rsid w:val="00525E1D"/>
    <w:rsid w:val="00526C8F"/>
    <w:rsid w:val="005277D9"/>
    <w:rsid w:val="005301C4"/>
    <w:rsid w:val="00531388"/>
    <w:rsid w:val="00531655"/>
    <w:rsid w:val="00531B67"/>
    <w:rsid w:val="00531BC9"/>
    <w:rsid w:val="005321E1"/>
    <w:rsid w:val="005324BB"/>
    <w:rsid w:val="00532D33"/>
    <w:rsid w:val="00532DB4"/>
    <w:rsid w:val="0053477D"/>
    <w:rsid w:val="005349D7"/>
    <w:rsid w:val="00535669"/>
    <w:rsid w:val="0053566F"/>
    <w:rsid w:val="0053624D"/>
    <w:rsid w:val="005362E6"/>
    <w:rsid w:val="00536860"/>
    <w:rsid w:val="00536E4F"/>
    <w:rsid w:val="00536EAE"/>
    <w:rsid w:val="00537A58"/>
    <w:rsid w:val="00537F4D"/>
    <w:rsid w:val="00540B50"/>
    <w:rsid w:val="00540BCC"/>
    <w:rsid w:val="00541D9C"/>
    <w:rsid w:val="00541DDF"/>
    <w:rsid w:val="005423FE"/>
    <w:rsid w:val="005424F7"/>
    <w:rsid w:val="0054256E"/>
    <w:rsid w:val="005427BB"/>
    <w:rsid w:val="00542895"/>
    <w:rsid w:val="00542EF7"/>
    <w:rsid w:val="005436D4"/>
    <w:rsid w:val="005437CE"/>
    <w:rsid w:val="00543FDC"/>
    <w:rsid w:val="00544042"/>
    <w:rsid w:val="005443B8"/>
    <w:rsid w:val="00544640"/>
    <w:rsid w:val="005457C3"/>
    <w:rsid w:val="0054600E"/>
    <w:rsid w:val="0054624D"/>
    <w:rsid w:val="005471BD"/>
    <w:rsid w:val="005472A5"/>
    <w:rsid w:val="0054736B"/>
    <w:rsid w:val="00550338"/>
    <w:rsid w:val="00551955"/>
    <w:rsid w:val="00552030"/>
    <w:rsid w:val="00552C8B"/>
    <w:rsid w:val="00553048"/>
    <w:rsid w:val="00553B38"/>
    <w:rsid w:val="00553C4F"/>
    <w:rsid w:val="00553DF1"/>
    <w:rsid w:val="00554B6B"/>
    <w:rsid w:val="00555506"/>
    <w:rsid w:val="00555A95"/>
    <w:rsid w:val="00555E7F"/>
    <w:rsid w:val="00555F3B"/>
    <w:rsid w:val="00557291"/>
    <w:rsid w:val="00557440"/>
    <w:rsid w:val="00557511"/>
    <w:rsid w:val="005602BB"/>
    <w:rsid w:val="005607E6"/>
    <w:rsid w:val="00560C71"/>
    <w:rsid w:val="005611ED"/>
    <w:rsid w:val="005615C7"/>
    <w:rsid w:val="00561742"/>
    <w:rsid w:val="00561773"/>
    <w:rsid w:val="00561ABA"/>
    <w:rsid w:val="00562BFD"/>
    <w:rsid w:val="005630D6"/>
    <w:rsid w:val="0056321C"/>
    <w:rsid w:val="00563859"/>
    <w:rsid w:val="00564D6F"/>
    <w:rsid w:val="00566DB1"/>
    <w:rsid w:val="00567305"/>
    <w:rsid w:val="0056784D"/>
    <w:rsid w:val="00567DF9"/>
    <w:rsid w:val="0057061C"/>
    <w:rsid w:val="00570935"/>
    <w:rsid w:val="00570A26"/>
    <w:rsid w:val="005715C8"/>
    <w:rsid w:val="00571B3F"/>
    <w:rsid w:val="00571B8D"/>
    <w:rsid w:val="005725F2"/>
    <w:rsid w:val="00572912"/>
    <w:rsid w:val="00573015"/>
    <w:rsid w:val="00573413"/>
    <w:rsid w:val="00573D87"/>
    <w:rsid w:val="0057408F"/>
    <w:rsid w:val="00574234"/>
    <w:rsid w:val="00574B35"/>
    <w:rsid w:val="005751E8"/>
    <w:rsid w:val="005752FE"/>
    <w:rsid w:val="00575945"/>
    <w:rsid w:val="00575E8E"/>
    <w:rsid w:val="00577575"/>
    <w:rsid w:val="00577743"/>
    <w:rsid w:val="00577885"/>
    <w:rsid w:val="005806A0"/>
    <w:rsid w:val="00580E31"/>
    <w:rsid w:val="00580F75"/>
    <w:rsid w:val="0058192A"/>
    <w:rsid w:val="00581D71"/>
    <w:rsid w:val="005824F6"/>
    <w:rsid w:val="0058273D"/>
    <w:rsid w:val="005839BC"/>
    <w:rsid w:val="005843E8"/>
    <w:rsid w:val="00584620"/>
    <w:rsid w:val="0058464E"/>
    <w:rsid w:val="005847CF"/>
    <w:rsid w:val="005848E6"/>
    <w:rsid w:val="00584A6B"/>
    <w:rsid w:val="00585965"/>
    <w:rsid w:val="005859FF"/>
    <w:rsid w:val="00585C85"/>
    <w:rsid w:val="0058608B"/>
    <w:rsid w:val="00586449"/>
    <w:rsid w:val="0058686F"/>
    <w:rsid w:val="00587659"/>
    <w:rsid w:val="00587E77"/>
    <w:rsid w:val="00587E9F"/>
    <w:rsid w:val="0059069A"/>
    <w:rsid w:val="005906EF"/>
    <w:rsid w:val="005908B6"/>
    <w:rsid w:val="00591240"/>
    <w:rsid w:val="0059138A"/>
    <w:rsid w:val="00591924"/>
    <w:rsid w:val="00591941"/>
    <w:rsid w:val="00591C09"/>
    <w:rsid w:val="00591F51"/>
    <w:rsid w:val="00592651"/>
    <w:rsid w:val="00592897"/>
    <w:rsid w:val="005929C3"/>
    <w:rsid w:val="00592EF1"/>
    <w:rsid w:val="00593826"/>
    <w:rsid w:val="00593B07"/>
    <w:rsid w:val="00595201"/>
    <w:rsid w:val="005956EE"/>
    <w:rsid w:val="00595888"/>
    <w:rsid w:val="00596028"/>
    <w:rsid w:val="00596844"/>
    <w:rsid w:val="005976D7"/>
    <w:rsid w:val="00597C9A"/>
    <w:rsid w:val="00597D04"/>
    <w:rsid w:val="00597D23"/>
    <w:rsid w:val="005A0E26"/>
    <w:rsid w:val="005A18A9"/>
    <w:rsid w:val="005A1CEC"/>
    <w:rsid w:val="005A2226"/>
    <w:rsid w:val="005A24DB"/>
    <w:rsid w:val="005A2F17"/>
    <w:rsid w:val="005A325B"/>
    <w:rsid w:val="005A362D"/>
    <w:rsid w:val="005A3827"/>
    <w:rsid w:val="005A3FBD"/>
    <w:rsid w:val="005A3FFB"/>
    <w:rsid w:val="005A4413"/>
    <w:rsid w:val="005A544C"/>
    <w:rsid w:val="005A5638"/>
    <w:rsid w:val="005A6399"/>
    <w:rsid w:val="005B02A0"/>
    <w:rsid w:val="005B076E"/>
    <w:rsid w:val="005B1727"/>
    <w:rsid w:val="005B2545"/>
    <w:rsid w:val="005B2C2E"/>
    <w:rsid w:val="005B2C79"/>
    <w:rsid w:val="005B2DDB"/>
    <w:rsid w:val="005B3487"/>
    <w:rsid w:val="005B402A"/>
    <w:rsid w:val="005B415B"/>
    <w:rsid w:val="005B4E1E"/>
    <w:rsid w:val="005B63B7"/>
    <w:rsid w:val="005B6FA4"/>
    <w:rsid w:val="005B725F"/>
    <w:rsid w:val="005C0778"/>
    <w:rsid w:val="005C10A7"/>
    <w:rsid w:val="005C1F94"/>
    <w:rsid w:val="005C3467"/>
    <w:rsid w:val="005C3CF9"/>
    <w:rsid w:val="005C4C27"/>
    <w:rsid w:val="005C5430"/>
    <w:rsid w:val="005C5456"/>
    <w:rsid w:val="005C57C4"/>
    <w:rsid w:val="005C6207"/>
    <w:rsid w:val="005C6211"/>
    <w:rsid w:val="005C62CD"/>
    <w:rsid w:val="005C6E0B"/>
    <w:rsid w:val="005C7015"/>
    <w:rsid w:val="005C71E6"/>
    <w:rsid w:val="005C7336"/>
    <w:rsid w:val="005D01B5"/>
    <w:rsid w:val="005D0E8B"/>
    <w:rsid w:val="005D1386"/>
    <w:rsid w:val="005D1B6B"/>
    <w:rsid w:val="005D30E4"/>
    <w:rsid w:val="005D3EC2"/>
    <w:rsid w:val="005D3F8E"/>
    <w:rsid w:val="005D40B7"/>
    <w:rsid w:val="005D41C0"/>
    <w:rsid w:val="005D44ED"/>
    <w:rsid w:val="005D4712"/>
    <w:rsid w:val="005D4C6F"/>
    <w:rsid w:val="005D4FBD"/>
    <w:rsid w:val="005D5B2E"/>
    <w:rsid w:val="005D5D2A"/>
    <w:rsid w:val="005D6640"/>
    <w:rsid w:val="005D6A4A"/>
    <w:rsid w:val="005D7267"/>
    <w:rsid w:val="005E0B59"/>
    <w:rsid w:val="005E0F8B"/>
    <w:rsid w:val="005E0FBD"/>
    <w:rsid w:val="005E128B"/>
    <w:rsid w:val="005E139C"/>
    <w:rsid w:val="005E16D7"/>
    <w:rsid w:val="005E1829"/>
    <w:rsid w:val="005E1C7C"/>
    <w:rsid w:val="005E300C"/>
    <w:rsid w:val="005E39AF"/>
    <w:rsid w:val="005E41C7"/>
    <w:rsid w:val="005E5484"/>
    <w:rsid w:val="005E5940"/>
    <w:rsid w:val="005E6705"/>
    <w:rsid w:val="005E6D27"/>
    <w:rsid w:val="005E6EE9"/>
    <w:rsid w:val="005E7EF6"/>
    <w:rsid w:val="005F0080"/>
    <w:rsid w:val="005F0087"/>
    <w:rsid w:val="005F013E"/>
    <w:rsid w:val="005F021A"/>
    <w:rsid w:val="005F0BB3"/>
    <w:rsid w:val="005F0F99"/>
    <w:rsid w:val="005F10C6"/>
    <w:rsid w:val="005F1225"/>
    <w:rsid w:val="005F1FBB"/>
    <w:rsid w:val="005F2D60"/>
    <w:rsid w:val="005F314E"/>
    <w:rsid w:val="005F32D3"/>
    <w:rsid w:val="005F337B"/>
    <w:rsid w:val="005F3CA3"/>
    <w:rsid w:val="005F3F9B"/>
    <w:rsid w:val="005F4945"/>
    <w:rsid w:val="005F4A0D"/>
    <w:rsid w:val="005F4B24"/>
    <w:rsid w:val="005F4FE4"/>
    <w:rsid w:val="005F55B2"/>
    <w:rsid w:val="005F5C20"/>
    <w:rsid w:val="005F6526"/>
    <w:rsid w:val="005F66C5"/>
    <w:rsid w:val="005F6E86"/>
    <w:rsid w:val="005F7D9E"/>
    <w:rsid w:val="00600311"/>
    <w:rsid w:val="0060164A"/>
    <w:rsid w:val="00601FDE"/>
    <w:rsid w:val="00602175"/>
    <w:rsid w:val="0060254B"/>
    <w:rsid w:val="006028C7"/>
    <w:rsid w:val="00602A9E"/>
    <w:rsid w:val="00602ECC"/>
    <w:rsid w:val="006035C5"/>
    <w:rsid w:val="006044B3"/>
    <w:rsid w:val="00604CFD"/>
    <w:rsid w:val="00605330"/>
    <w:rsid w:val="006059C9"/>
    <w:rsid w:val="00606008"/>
    <w:rsid w:val="00606C1D"/>
    <w:rsid w:val="0060740B"/>
    <w:rsid w:val="0060776A"/>
    <w:rsid w:val="00610076"/>
    <w:rsid w:val="00610AAD"/>
    <w:rsid w:val="00610FBD"/>
    <w:rsid w:val="00611E8B"/>
    <w:rsid w:val="00611FB6"/>
    <w:rsid w:val="00612050"/>
    <w:rsid w:val="00612670"/>
    <w:rsid w:val="00613A20"/>
    <w:rsid w:val="00613A9A"/>
    <w:rsid w:val="00614345"/>
    <w:rsid w:val="0061442A"/>
    <w:rsid w:val="00614C9F"/>
    <w:rsid w:val="00615E9A"/>
    <w:rsid w:val="00616933"/>
    <w:rsid w:val="00616E66"/>
    <w:rsid w:val="00617185"/>
    <w:rsid w:val="0062022E"/>
    <w:rsid w:val="006209AE"/>
    <w:rsid w:val="0062117E"/>
    <w:rsid w:val="006211BE"/>
    <w:rsid w:val="006212D2"/>
    <w:rsid w:val="00623270"/>
    <w:rsid w:val="0062368D"/>
    <w:rsid w:val="006236F8"/>
    <w:rsid w:val="00623F92"/>
    <w:rsid w:val="00624391"/>
    <w:rsid w:val="00624EEB"/>
    <w:rsid w:val="006257C9"/>
    <w:rsid w:val="006257F1"/>
    <w:rsid w:val="0062636A"/>
    <w:rsid w:val="0062660B"/>
    <w:rsid w:val="0062680E"/>
    <w:rsid w:val="00626DBB"/>
    <w:rsid w:val="006271E0"/>
    <w:rsid w:val="006276F0"/>
    <w:rsid w:val="00627F3B"/>
    <w:rsid w:val="006303F2"/>
    <w:rsid w:val="0063083E"/>
    <w:rsid w:val="0063088A"/>
    <w:rsid w:val="00631F09"/>
    <w:rsid w:val="00633B55"/>
    <w:rsid w:val="0063404C"/>
    <w:rsid w:val="006341B9"/>
    <w:rsid w:val="00634881"/>
    <w:rsid w:val="00634D86"/>
    <w:rsid w:val="00635368"/>
    <w:rsid w:val="00635903"/>
    <w:rsid w:val="00635E17"/>
    <w:rsid w:val="00636A1B"/>
    <w:rsid w:val="006373DF"/>
    <w:rsid w:val="00637ED4"/>
    <w:rsid w:val="00637F4B"/>
    <w:rsid w:val="006406B9"/>
    <w:rsid w:val="00640923"/>
    <w:rsid w:val="00640EA8"/>
    <w:rsid w:val="00641076"/>
    <w:rsid w:val="0064161C"/>
    <w:rsid w:val="006419D4"/>
    <w:rsid w:val="00641FC6"/>
    <w:rsid w:val="006424FD"/>
    <w:rsid w:val="00642ED1"/>
    <w:rsid w:val="00642EDC"/>
    <w:rsid w:val="00643AC4"/>
    <w:rsid w:val="006441BC"/>
    <w:rsid w:val="00644D92"/>
    <w:rsid w:val="0064520E"/>
    <w:rsid w:val="006459A4"/>
    <w:rsid w:val="00645AA0"/>
    <w:rsid w:val="006460D9"/>
    <w:rsid w:val="0064629B"/>
    <w:rsid w:val="00646ECF"/>
    <w:rsid w:val="006502B4"/>
    <w:rsid w:val="00650385"/>
    <w:rsid w:val="006504C1"/>
    <w:rsid w:val="00652851"/>
    <w:rsid w:val="0065358B"/>
    <w:rsid w:val="00653923"/>
    <w:rsid w:val="00653AAE"/>
    <w:rsid w:val="00653B40"/>
    <w:rsid w:val="00653DC8"/>
    <w:rsid w:val="006541E9"/>
    <w:rsid w:val="00654212"/>
    <w:rsid w:val="006547CC"/>
    <w:rsid w:val="00655956"/>
    <w:rsid w:val="00655ED2"/>
    <w:rsid w:val="006565B9"/>
    <w:rsid w:val="0065681E"/>
    <w:rsid w:val="00657290"/>
    <w:rsid w:val="006574B2"/>
    <w:rsid w:val="00657D90"/>
    <w:rsid w:val="00660024"/>
    <w:rsid w:val="00660BB7"/>
    <w:rsid w:val="00660E81"/>
    <w:rsid w:val="00660EC5"/>
    <w:rsid w:val="006610DB"/>
    <w:rsid w:val="006616C3"/>
    <w:rsid w:val="00661BF2"/>
    <w:rsid w:val="00661CB2"/>
    <w:rsid w:val="00662CD5"/>
    <w:rsid w:val="00662F46"/>
    <w:rsid w:val="00663601"/>
    <w:rsid w:val="00663713"/>
    <w:rsid w:val="00663B8D"/>
    <w:rsid w:val="00663F59"/>
    <w:rsid w:val="00664794"/>
    <w:rsid w:val="006647D8"/>
    <w:rsid w:val="00665739"/>
    <w:rsid w:val="0066573E"/>
    <w:rsid w:val="00665A6C"/>
    <w:rsid w:val="00666112"/>
    <w:rsid w:val="006662F9"/>
    <w:rsid w:val="0066632B"/>
    <w:rsid w:val="00666C30"/>
    <w:rsid w:val="00667016"/>
    <w:rsid w:val="00667F13"/>
    <w:rsid w:val="00670278"/>
    <w:rsid w:val="00671B41"/>
    <w:rsid w:val="00671E73"/>
    <w:rsid w:val="0067261D"/>
    <w:rsid w:val="0067280D"/>
    <w:rsid w:val="0067304F"/>
    <w:rsid w:val="00673104"/>
    <w:rsid w:val="0067340D"/>
    <w:rsid w:val="00673D05"/>
    <w:rsid w:val="00674535"/>
    <w:rsid w:val="00676AE9"/>
    <w:rsid w:val="006776AC"/>
    <w:rsid w:val="006777C8"/>
    <w:rsid w:val="00677EBC"/>
    <w:rsid w:val="006806AC"/>
    <w:rsid w:val="006806D4"/>
    <w:rsid w:val="00680C3B"/>
    <w:rsid w:val="0068156C"/>
    <w:rsid w:val="006829A3"/>
    <w:rsid w:val="006829C0"/>
    <w:rsid w:val="006829EF"/>
    <w:rsid w:val="00682CC4"/>
    <w:rsid w:val="00683276"/>
    <w:rsid w:val="00683FA8"/>
    <w:rsid w:val="00684865"/>
    <w:rsid w:val="00684F19"/>
    <w:rsid w:val="00685930"/>
    <w:rsid w:val="00685D0A"/>
    <w:rsid w:val="00685E92"/>
    <w:rsid w:val="00685F42"/>
    <w:rsid w:val="006862DB"/>
    <w:rsid w:val="00686C47"/>
    <w:rsid w:val="0069097F"/>
    <w:rsid w:val="00690D34"/>
    <w:rsid w:val="00690FD7"/>
    <w:rsid w:val="0069120D"/>
    <w:rsid w:val="00691229"/>
    <w:rsid w:val="00691266"/>
    <w:rsid w:val="006919C3"/>
    <w:rsid w:val="00692782"/>
    <w:rsid w:val="006927E1"/>
    <w:rsid w:val="00692D06"/>
    <w:rsid w:val="00693018"/>
    <w:rsid w:val="00693382"/>
    <w:rsid w:val="00693387"/>
    <w:rsid w:val="00694465"/>
    <w:rsid w:val="006956DF"/>
    <w:rsid w:val="00695AD2"/>
    <w:rsid w:val="00695BF1"/>
    <w:rsid w:val="00696FFA"/>
    <w:rsid w:val="006973B6"/>
    <w:rsid w:val="00697EE7"/>
    <w:rsid w:val="006A057B"/>
    <w:rsid w:val="006A0C8B"/>
    <w:rsid w:val="006A1821"/>
    <w:rsid w:val="006A1C96"/>
    <w:rsid w:val="006A21B9"/>
    <w:rsid w:val="006A2370"/>
    <w:rsid w:val="006A2FD7"/>
    <w:rsid w:val="006A38E0"/>
    <w:rsid w:val="006A42B5"/>
    <w:rsid w:val="006A478E"/>
    <w:rsid w:val="006A4B86"/>
    <w:rsid w:val="006A5737"/>
    <w:rsid w:val="006A5D5A"/>
    <w:rsid w:val="006A5E00"/>
    <w:rsid w:val="006A6295"/>
    <w:rsid w:val="006B0425"/>
    <w:rsid w:val="006B06EB"/>
    <w:rsid w:val="006B0BE1"/>
    <w:rsid w:val="006B0E3B"/>
    <w:rsid w:val="006B11F3"/>
    <w:rsid w:val="006B131A"/>
    <w:rsid w:val="006B1336"/>
    <w:rsid w:val="006B1421"/>
    <w:rsid w:val="006B1C12"/>
    <w:rsid w:val="006B22B4"/>
    <w:rsid w:val="006B24CB"/>
    <w:rsid w:val="006B272B"/>
    <w:rsid w:val="006B2BC9"/>
    <w:rsid w:val="006B2EF6"/>
    <w:rsid w:val="006B383B"/>
    <w:rsid w:val="006B43A6"/>
    <w:rsid w:val="006B4D1A"/>
    <w:rsid w:val="006B587C"/>
    <w:rsid w:val="006B59FE"/>
    <w:rsid w:val="006B5AB3"/>
    <w:rsid w:val="006B603F"/>
    <w:rsid w:val="006B6B18"/>
    <w:rsid w:val="006B723B"/>
    <w:rsid w:val="006B7CB5"/>
    <w:rsid w:val="006B7D69"/>
    <w:rsid w:val="006C0078"/>
    <w:rsid w:val="006C23DE"/>
    <w:rsid w:val="006C3634"/>
    <w:rsid w:val="006C4103"/>
    <w:rsid w:val="006C5202"/>
    <w:rsid w:val="006C5479"/>
    <w:rsid w:val="006C5519"/>
    <w:rsid w:val="006C5546"/>
    <w:rsid w:val="006C60B8"/>
    <w:rsid w:val="006C618F"/>
    <w:rsid w:val="006C6846"/>
    <w:rsid w:val="006C69B9"/>
    <w:rsid w:val="006C6D49"/>
    <w:rsid w:val="006C7825"/>
    <w:rsid w:val="006C7B49"/>
    <w:rsid w:val="006C7D9E"/>
    <w:rsid w:val="006C7E9D"/>
    <w:rsid w:val="006D0233"/>
    <w:rsid w:val="006D12F8"/>
    <w:rsid w:val="006D1B0F"/>
    <w:rsid w:val="006D20C1"/>
    <w:rsid w:val="006D22D7"/>
    <w:rsid w:val="006D3269"/>
    <w:rsid w:val="006D341F"/>
    <w:rsid w:val="006D368D"/>
    <w:rsid w:val="006D4400"/>
    <w:rsid w:val="006D4575"/>
    <w:rsid w:val="006D45F6"/>
    <w:rsid w:val="006D4700"/>
    <w:rsid w:val="006D47F1"/>
    <w:rsid w:val="006D4B51"/>
    <w:rsid w:val="006D4C1D"/>
    <w:rsid w:val="006D507F"/>
    <w:rsid w:val="006D53B7"/>
    <w:rsid w:val="006D5D8D"/>
    <w:rsid w:val="006D6513"/>
    <w:rsid w:val="006D6A7D"/>
    <w:rsid w:val="006D6EFD"/>
    <w:rsid w:val="006D7925"/>
    <w:rsid w:val="006D79FF"/>
    <w:rsid w:val="006D7F70"/>
    <w:rsid w:val="006E0BAD"/>
    <w:rsid w:val="006E0BB2"/>
    <w:rsid w:val="006E0C68"/>
    <w:rsid w:val="006E16EB"/>
    <w:rsid w:val="006E1DAC"/>
    <w:rsid w:val="006E251C"/>
    <w:rsid w:val="006E320F"/>
    <w:rsid w:val="006E384D"/>
    <w:rsid w:val="006E3D5C"/>
    <w:rsid w:val="006E3D5D"/>
    <w:rsid w:val="006E4A71"/>
    <w:rsid w:val="006E4DAC"/>
    <w:rsid w:val="006E51A7"/>
    <w:rsid w:val="006E58DA"/>
    <w:rsid w:val="006E5CC8"/>
    <w:rsid w:val="006E64A3"/>
    <w:rsid w:val="006E664B"/>
    <w:rsid w:val="006E6974"/>
    <w:rsid w:val="006E6DB7"/>
    <w:rsid w:val="006E6E8F"/>
    <w:rsid w:val="006E70D0"/>
    <w:rsid w:val="006E7338"/>
    <w:rsid w:val="006E74AF"/>
    <w:rsid w:val="006E74F4"/>
    <w:rsid w:val="006E7BFA"/>
    <w:rsid w:val="006F0047"/>
    <w:rsid w:val="006F0FB7"/>
    <w:rsid w:val="006F13A5"/>
    <w:rsid w:val="006F1BA3"/>
    <w:rsid w:val="006F26EA"/>
    <w:rsid w:val="006F275E"/>
    <w:rsid w:val="006F277D"/>
    <w:rsid w:val="006F2F98"/>
    <w:rsid w:val="006F2FBD"/>
    <w:rsid w:val="006F312D"/>
    <w:rsid w:val="006F4C1D"/>
    <w:rsid w:val="006F4F6D"/>
    <w:rsid w:val="006F565F"/>
    <w:rsid w:val="006F5A5E"/>
    <w:rsid w:val="006F62AB"/>
    <w:rsid w:val="006F6A2D"/>
    <w:rsid w:val="006F6A69"/>
    <w:rsid w:val="006F7902"/>
    <w:rsid w:val="006F7986"/>
    <w:rsid w:val="006F79E4"/>
    <w:rsid w:val="006F7C48"/>
    <w:rsid w:val="00700880"/>
    <w:rsid w:val="00701680"/>
    <w:rsid w:val="00701B1C"/>
    <w:rsid w:val="0070284C"/>
    <w:rsid w:val="0070330B"/>
    <w:rsid w:val="007037B1"/>
    <w:rsid w:val="0070425E"/>
    <w:rsid w:val="0070448B"/>
    <w:rsid w:val="007056F7"/>
    <w:rsid w:val="007059F1"/>
    <w:rsid w:val="00705AB1"/>
    <w:rsid w:val="00705F3C"/>
    <w:rsid w:val="00706332"/>
    <w:rsid w:val="0070640F"/>
    <w:rsid w:val="0070735E"/>
    <w:rsid w:val="0071027D"/>
    <w:rsid w:val="007105C5"/>
    <w:rsid w:val="00710D9C"/>
    <w:rsid w:val="00710F24"/>
    <w:rsid w:val="007115C8"/>
    <w:rsid w:val="007117C4"/>
    <w:rsid w:val="00711D45"/>
    <w:rsid w:val="00711FC8"/>
    <w:rsid w:val="0071200A"/>
    <w:rsid w:val="00712086"/>
    <w:rsid w:val="007129B9"/>
    <w:rsid w:val="00712E73"/>
    <w:rsid w:val="007136E5"/>
    <w:rsid w:val="00713DC4"/>
    <w:rsid w:val="007144D6"/>
    <w:rsid w:val="007146B7"/>
    <w:rsid w:val="007149E9"/>
    <w:rsid w:val="00714B5E"/>
    <w:rsid w:val="00715170"/>
    <w:rsid w:val="00715863"/>
    <w:rsid w:val="00715908"/>
    <w:rsid w:val="00715ECE"/>
    <w:rsid w:val="00716296"/>
    <w:rsid w:val="00717088"/>
    <w:rsid w:val="007179D9"/>
    <w:rsid w:val="00717E90"/>
    <w:rsid w:val="00720082"/>
    <w:rsid w:val="007201BD"/>
    <w:rsid w:val="007201CA"/>
    <w:rsid w:val="007205DF"/>
    <w:rsid w:val="00720B41"/>
    <w:rsid w:val="00721441"/>
    <w:rsid w:val="00721483"/>
    <w:rsid w:val="007214B0"/>
    <w:rsid w:val="007218D1"/>
    <w:rsid w:val="0072204D"/>
    <w:rsid w:val="00723C0A"/>
    <w:rsid w:val="00724471"/>
    <w:rsid w:val="00724C10"/>
    <w:rsid w:val="00724EC1"/>
    <w:rsid w:val="00725171"/>
    <w:rsid w:val="007251AA"/>
    <w:rsid w:val="0072554F"/>
    <w:rsid w:val="007259BF"/>
    <w:rsid w:val="00725B24"/>
    <w:rsid w:val="007262AB"/>
    <w:rsid w:val="0072643A"/>
    <w:rsid w:val="00726559"/>
    <w:rsid w:val="007267F3"/>
    <w:rsid w:val="007269AC"/>
    <w:rsid w:val="0072717A"/>
    <w:rsid w:val="0072738E"/>
    <w:rsid w:val="00727706"/>
    <w:rsid w:val="00730078"/>
    <w:rsid w:val="007307F5"/>
    <w:rsid w:val="00730F35"/>
    <w:rsid w:val="00730F6D"/>
    <w:rsid w:val="007316CD"/>
    <w:rsid w:val="00731941"/>
    <w:rsid w:val="0073254D"/>
    <w:rsid w:val="00732C65"/>
    <w:rsid w:val="00732DD5"/>
    <w:rsid w:val="00734221"/>
    <w:rsid w:val="007345F0"/>
    <w:rsid w:val="007364B0"/>
    <w:rsid w:val="00737078"/>
    <w:rsid w:val="007370C6"/>
    <w:rsid w:val="00737508"/>
    <w:rsid w:val="00737823"/>
    <w:rsid w:val="00737E88"/>
    <w:rsid w:val="007401C4"/>
    <w:rsid w:val="00740230"/>
    <w:rsid w:val="00741CA8"/>
    <w:rsid w:val="0074207B"/>
    <w:rsid w:val="007428CB"/>
    <w:rsid w:val="00742CC7"/>
    <w:rsid w:val="0074336B"/>
    <w:rsid w:val="00743D6C"/>
    <w:rsid w:val="00744835"/>
    <w:rsid w:val="007459B5"/>
    <w:rsid w:val="00746685"/>
    <w:rsid w:val="007469E1"/>
    <w:rsid w:val="007469E3"/>
    <w:rsid w:val="00746F02"/>
    <w:rsid w:val="00747EBB"/>
    <w:rsid w:val="007503CE"/>
    <w:rsid w:val="007511BB"/>
    <w:rsid w:val="007518BB"/>
    <w:rsid w:val="00752070"/>
    <w:rsid w:val="0075260D"/>
    <w:rsid w:val="00752BBE"/>
    <w:rsid w:val="007531F8"/>
    <w:rsid w:val="00753620"/>
    <w:rsid w:val="0075368F"/>
    <w:rsid w:val="00753921"/>
    <w:rsid w:val="00753AB8"/>
    <w:rsid w:val="00754200"/>
    <w:rsid w:val="0075465B"/>
    <w:rsid w:val="00754A56"/>
    <w:rsid w:val="00755315"/>
    <w:rsid w:val="00756977"/>
    <w:rsid w:val="00756A1E"/>
    <w:rsid w:val="00757094"/>
    <w:rsid w:val="0076022F"/>
    <w:rsid w:val="0076037E"/>
    <w:rsid w:val="007603FF"/>
    <w:rsid w:val="00760BD0"/>
    <w:rsid w:val="0076101B"/>
    <w:rsid w:val="007613F5"/>
    <w:rsid w:val="00761D35"/>
    <w:rsid w:val="0076231B"/>
    <w:rsid w:val="0076281D"/>
    <w:rsid w:val="00762990"/>
    <w:rsid w:val="00762BCF"/>
    <w:rsid w:val="00763089"/>
    <w:rsid w:val="007633F7"/>
    <w:rsid w:val="007635D9"/>
    <w:rsid w:val="007636DE"/>
    <w:rsid w:val="007647FF"/>
    <w:rsid w:val="007649A9"/>
    <w:rsid w:val="00764D83"/>
    <w:rsid w:val="00764F29"/>
    <w:rsid w:val="00765E3C"/>
    <w:rsid w:val="007668D5"/>
    <w:rsid w:val="00766D71"/>
    <w:rsid w:val="007675F3"/>
    <w:rsid w:val="00767B7F"/>
    <w:rsid w:val="00767EDB"/>
    <w:rsid w:val="0077039D"/>
    <w:rsid w:val="007710E4"/>
    <w:rsid w:val="007728C0"/>
    <w:rsid w:val="00772AE4"/>
    <w:rsid w:val="00772D7C"/>
    <w:rsid w:val="00772E45"/>
    <w:rsid w:val="00772E69"/>
    <w:rsid w:val="0077343C"/>
    <w:rsid w:val="00773617"/>
    <w:rsid w:val="00773F28"/>
    <w:rsid w:val="00775553"/>
    <w:rsid w:val="007755BC"/>
    <w:rsid w:val="007755DB"/>
    <w:rsid w:val="0077596C"/>
    <w:rsid w:val="00775C03"/>
    <w:rsid w:val="00775D2A"/>
    <w:rsid w:val="007774FE"/>
    <w:rsid w:val="00777AD3"/>
    <w:rsid w:val="007808A9"/>
    <w:rsid w:val="00781BA2"/>
    <w:rsid w:val="007827A0"/>
    <w:rsid w:val="00782964"/>
    <w:rsid w:val="00782B84"/>
    <w:rsid w:val="00783605"/>
    <w:rsid w:val="00783BDF"/>
    <w:rsid w:val="00783F84"/>
    <w:rsid w:val="0078443A"/>
    <w:rsid w:val="007845DB"/>
    <w:rsid w:val="0078568F"/>
    <w:rsid w:val="00785EB7"/>
    <w:rsid w:val="00786FF9"/>
    <w:rsid w:val="00790239"/>
    <w:rsid w:val="00791522"/>
    <w:rsid w:val="00791A89"/>
    <w:rsid w:val="00792DAD"/>
    <w:rsid w:val="00793251"/>
    <w:rsid w:val="007938A4"/>
    <w:rsid w:val="00794257"/>
    <w:rsid w:val="00794AEA"/>
    <w:rsid w:val="00794CF0"/>
    <w:rsid w:val="00795344"/>
    <w:rsid w:val="00795830"/>
    <w:rsid w:val="00796408"/>
    <w:rsid w:val="007972AF"/>
    <w:rsid w:val="00797A4A"/>
    <w:rsid w:val="007A03FB"/>
    <w:rsid w:val="007A090F"/>
    <w:rsid w:val="007A0A4B"/>
    <w:rsid w:val="007A0B36"/>
    <w:rsid w:val="007A0FF5"/>
    <w:rsid w:val="007A2393"/>
    <w:rsid w:val="007A2CB4"/>
    <w:rsid w:val="007A2F71"/>
    <w:rsid w:val="007A3C3D"/>
    <w:rsid w:val="007A3D46"/>
    <w:rsid w:val="007A416D"/>
    <w:rsid w:val="007A41E8"/>
    <w:rsid w:val="007A433C"/>
    <w:rsid w:val="007A5752"/>
    <w:rsid w:val="007A5AB0"/>
    <w:rsid w:val="007A5EC9"/>
    <w:rsid w:val="007A624D"/>
    <w:rsid w:val="007A6565"/>
    <w:rsid w:val="007A66B5"/>
    <w:rsid w:val="007A6BE3"/>
    <w:rsid w:val="007A73F1"/>
    <w:rsid w:val="007A7FFB"/>
    <w:rsid w:val="007B0117"/>
    <w:rsid w:val="007B0157"/>
    <w:rsid w:val="007B07EB"/>
    <w:rsid w:val="007B0B90"/>
    <w:rsid w:val="007B12F9"/>
    <w:rsid w:val="007B1707"/>
    <w:rsid w:val="007B1E2A"/>
    <w:rsid w:val="007B2A63"/>
    <w:rsid w:val="007B2C30"/>
    <w:rsid w:val="007B3141"/>
    <w:rsid w:val="007B34B1"/>
    <w:rsid w:val="007B3F51"/>
    <w:rsid w:val="007B490D"/>
    <w:rsid w:val="007B5196"/>
    <w:rsid w:val="007B519A"/>
    <w:rsid w:val="007B5865"/>
    <w:rsid w:val="007B5BE1"/>
    <w:rsid w:val="007B6184"/>
    <w:rsid w:val="007B6260"/>
    <w:rsid w:val="007B6BE9"/>
    <w:rsid w:val="007B73CF"/>
    <w:rsid w:val="007C0B4E"/>
    <w:rsid w:val="007C0E48"/>
    <w:rsid w:val="007C19EC"/>
    <w:rsid w:val="007C1CD7"/>
    <w:rsid w:val="007C1DA2"/>
    <w:rsid w:val="007C27CA"/>
    <w:rsid w:val="007C2834"/>
    <w:rsid w:val="007C44CE"/>
    <w:rsid w:val="007C461D"/>
    <w:rsid w:val="007C47A8"/>
    <w:rsid w:val="007C4949"/>
    <w:rsid w:val="007C5102"/>
    <w:rsid w:val="007C5C22"/>
    <w:rsid w:val="007C6213"/>
    <w:rsid w:val="007C6273"/>
    <w:rsid w:val="007C6708"/>
    <w:rsid w:val="007C68BA"/>
    <w:rsid w:val="007C7225"/>
    <w:rsid w:val="007C7818"/>
    <w:rsid w:val="007C7AFC"/>
    <w:rsid w:val="007C7DA7"/>
    <w:rsid w:val="007D01ED"/>
    <w:rsid w:val="007D0568"/>
    <w:rsid w:val="007D067C"/>
    <w:rsid w:val="007D171C"/>
    <w:rsid w:val="007D229E"/>
    <w:rsid w:val="007D2511"/>
    <w:rsid w:val="007D2D83"/>
    <w:rsid w:val="007D2FB0"/>
    <w:rsid w:val="007D3024"/>
    <w:rsid w:val="007D31EA"/>
    <w:rsid w:val="007D34C2"/>
    <w:rsid w:val="007D3A22"/>
    <w:rsid w:val="007D3BD4"/>
    <w:rsid w:val="007D3F6A"/>
    <w:rsid w:val="007D537E"/>
    <w:rsid w:val="007D543A"/>
    <w:rsid w:val="007D546F"/>
    <w:rsid w:val="007D5856"/>
    <w:rsid w:val="007D5E1F"/>
    <w:rsid w:val="007D6DAC"/>
    <w:rsid w:val="007D6FD4"/>
    <w:rsid w:val="007D7147"/>
    <w:rsid w:val="007D7796"/>
    <w:rsid w:val="007E1385"/>
    <w:rsid w:val="007E3BE5"/>
    <w:rsid w:val="007E3C4A"/>
    <w:rsid w:val="007E3DA4"/>
    <w:rsid w:val="007E41F2"/>
    <w:rsid w:val="007E497B"/>
    <w:rsid w:val="007E49D9"/>
    <w:rsid w:val="007E4C2F"/>
    <w:rsid w:val="007E4DD2"/>
    <w:rsid w:val="007E5B0F"/>
    <w:rsid w:val="007E5F8E"/>
    <w:rsid w:val="007E665C"/>
    <w:rsid w:val="007E69A9"/>
    <w:rsid w:val="007E6F27"/>
    <w:rsid w:val="007E6FB7"/>
    <w:rsid w:val="007E7169"/>
    <w:rsid w:val="007E7AD6"/>
    <w:rsid w:val="007E7B63"/>
    <w:rsid w:val="007E7EB9"/>
    <w:rsid w:val="007E7FFB"/>
    <w:rsid w:val="007F01DA"/>
    <w:rsid w:val="007F0268"/>
    <w:rsid w:val="007F1D9E"/>
    <w:rsid w:val="007F23FD"/>
    <w:rsid w:val="007F2EDC"/>
    <w:rsid w:val="007F2EFD"/>
    <w:rsid w:val="007F3202"/>
    <w:rsid w:val="007F35DE"/>
    <w:rsid w:val="007F3632"/>
    <w:rsid w:val="007F378A"/>
    <w:rsid w:val="007F42E4"/>
    <w:rsid w:val="007F46FE"/>
    <w:rsid w:val="007F50E9"/>
    <w:rsid w:val="007F5195"/>
    <w:rsid w:val="007F5B51"/>
    <w:rsid w:val="007F6804"/>
    <w:rsid w:val="007F7226"/>
    <w:rsid w:val="007F735D"/>
    <w:rsid w:val="00800B08"/>
    <w:rsid w:val="00801938"/>
    <w:rsid w:val="00801E3D"/>
    <w:rsid w:val="00801FC1"/>
    <w:rsid w:val="00802459"/>
    <w:rsid w:val="0080278E"/>
    <w:rsid w:val="008027B8"/>
    <w:rsid w:val="00802FB5"/>
    <w:rsid w:val="00803B59"/>
    <w:rsid w:val="0080484F"/>
    <w:rsid w:val="00804E3A"/>
    <w:rsid w:val="0080527F"/>
    <w:rsid w:val="008056CA"/>
    <w:rsid w:val="00805E9F"/>
    <w:rsid w:val="0080649A"/>
    <w:rsid w:val="008064F9"/>
    <w:rsid w:val="00806817"/>
    <w:rsid w:val="00807460"/>
    <w:rsid w:val="008103DB"/>
    <w:rsid w:val="00810BEF"/>
    <w:rsid w:val="00810C45"/>
    <w:rsid w:val="00810D0C"/>
    <w:rsid w:val="008111D2"/>
    <w:rsid w:val="00812746"/>
    <w:rsid w:val="008137FD"/>
    <w:rsid w:val="00814261"/>
    <w:rsid w:val="00814601"/>
    <w:rsid w:val="00815053"/>
    <w:rsid w:val="00815B5B"/>
    <w:rsid w:val="00815E30"/>
    <w:rsid w:val="00815E32"/>
    <w:rsid w:val="00816954"/>
    <w:rsid w:val="00816D47"/>
    <w:rsid w:val="00817070"/>
    <w:rsid w:val="0081791B"/>
    <w:rsid w:val="00817A15"/>
    <w:rsid w:val="00820486"/>
    <w:rsid w:val="00821373"/>
    <w:rsid w:val="008222FF"/>
    <w:rsid w:val="008224E8"/>
    <w:rsid w:val="00822BC5"/>
    <w:rsid w:val="00822F80"/>
    <w:rsid w:val="00823130"/>
    <w:rsid w:val="008238A2"/>
    <w:rsid w:val="008246A7"/>
    <w:rsid w:val="00824E1A"/>
    <w:rsid w:val="00825028"/>
    <w:rsid w:val="008251EC"/>
    <w:rsid w:val="008253E7"/>
    <w:rsid w:val="0082551D"/>
    <w:rsid w:val="00827175"/>
    <w:rsid w:val="0082744F"/>
    <w:rsid w:val="00827ECA"/>
    <w:rsid w:val="008300B2"/>
    <w:rsid w:val="0083047A"/>
    <w:rsid w:val="00831397"/>
    <w:rsid w:val="00831431"/>
    <w:rsid w:val="00831D62"/>
    <w:rsid w:val="0083211C"/>
    <w:rsid w:val="008323E4"/>
    <w:rsid w:val="00832DE8"/>
    <w:rsid w:val="00832E60"/>
    <w:rsid w:val="00833112"/>
    <w:rsid w:val="00833443"/>
    <w:rsid w:val="008340DF"/>
    <w:rsid w:val="008343BB"/>
    <w:rsid w:val="008345B1"/>
    <w:rsid w:val="00834BDA"/>
    <w:rsid w:val="008352E0"/>
    <w:rsid w:val="00836042"/>
    <w:rsid w:val="008369B8"/>
    <w:rsid w:val="00837325"/>
    <w:rsid w:val="00837376"/>
    <w:rsid w:val="008378C6"/>
    <w:rsid w:val="0084073C"/>
    <w:rsid w:val="00841730"/>
    <w:rsid w:val="00842157"/>
    <w:rsid w:val="0084219C"/>
    <w:rsid w:val="008421D3"/>
    <w:rsid w:val="00842FE5"/>
    <w:rsid w:val="00843AF4"/>
    <w:rsid w:val="00843EF8"/>
    <w:rsid w:val="0084403A"/>
    <w:rsid w:val="0084417F"/>
    <w:rsid w:val="00844C8E"/>
    <w:rsid w:val="0084565C"/>
    <w:rsid w:val="00846655"/>
    <w:rsid w:val="00847AF1"/>
    <w:rsid w:val="00847B38"/>
    <w:rsid w:val="00847CE3"/>
    <w:rsid w:val="00850297"/>
    <w:rsid w:val="00850380"/>
    <w:rsid w:val="00851854"/>
    <w:rsid w:val="00851E62"/>
    <w:rsid w:val="00851F7C"/>
    <w:rsid w:val="008521D6"/>
    <w:rsid w:val="00852F17"/>
    <w:rsid w:val="00853FBD"/>
    <w:rsid w:val="0085416B"/>
    <w:rsid w:val="008543A5"/>
    <w:rsid w:val="00854667"/>
    <w:rsid w:val="008548C0"/>
    <w:rsid w:val="00854A64"/>
    <w:rsid w:val="00854C3B"/>
    <w:rsid w:val="00855096"/>
    <w:rsid w:val="00855E4E"/>
    <w:rsid w:val="00855F24"/>
    <w:rsid w:val="00856670"/>
    <w:rsid w:val="00860451"/>
    <w:rsid w:val="008604E2"/>
    <w:rsid w:val="00860B6F"/>
    <w:rsid w:val="00860E81"/>
    <w:rsid w:val="0086147D"/>
    <w:rsid w:val="008619AF"/>
    <w:rsid w:val="00861E35"/>
    <w:rsid w:val="00861EE8"/>
    <w:rsid w:val="0086215B"/>
    <w:rsid w:val="008625A0"/>
    <w:rsid w:val="0086273F"/>
    <w:rsid w:val="0086297B"/>
    <w:rsid w:val="008632ED"/>
    <w:rsid w:val="00863B48"/>
    <w:rsid w:val="0086436B"/>
    <w:rsid w:val="008644EC"/>
    <w:rsid w:val="00864632"/>
    <w:rsid w:val="008647BD"/>
    <w:rsid w:val="00865251"/>
    <w:rsid w:val="008659B8"/>
    <w:rsid w:val="008661B3"/>
    <w:rsid w:val="008663A3"/>
    <w:rsid w:val="00866636"/>
    <w:rsid w:val="008667C5"/>
    <w:rsid w:val="008670AC"/>
    <w:rsid w:val="008674C5"/>
    <w:rsid w:val="00867EDC"/>
    <w:rsid w:val="00870ACC"/>
    <w:rsid w:val="008713E4"/>
    <w:rsid w:val="008717A7"/>
    <w:rsid w:val="00871F47"/>
    <w:rsid w:val="008727A2"/>
    <w:rsid w:val="008735BC"/>
    <w:rsid w:val="00873AAC"/>
    <w:rsid w:val="00874452"/>
    <w:rsid w:val="008747DF"/>
    <w:rsid w:val="00876586"/>
    <w:rsid w:val="00876EBE"/>
    <w:rsid w:val="008775BC"/>
    <w:rsid w:val="008779C5"/>
    <w:rsid w:val="00877D11"/>
    <w:rsid w:val="0088032C"/>
    <w:rsid w:val="008804F9"/>
    <w:rsid w:val="00880580"/>
    <w:rsid w:val="00881D6F"/>
    <w:rsid w:val="00882A86"/>
    <w:rsid w:val="008832B2"/>
    <w:rsid w:val="008835D8"/>
    <w:rsid w:val="008837FE"/>
    <w:rsid w:val="00883D7E"/>
    <w:rsid w:val="00884D7D"/>
    <w:rsid w:val="00885B9B"/>
    <w:rsid w:val="00885F8F"/>
    <w:rsid w:val="00886126"/>
    <w:rsid w:val="008861BE"/>
    <w:rsid w:val="00886227"/>
    <w:rsid w:val="008864EF"/>
    <w:rsid w:val="00887048"/>
    <w:rsid w:val="00887266"/>
    <w:rsid w:val="00887541"/>
    <w:rsid w:val="0088789D"/>
    <w:rsid w:val="00887D96"/>
    <w:rsid w:val="00890177"/>
    <w:rsid w:val="00891ADA"/>
    <w:rsid w:val="00893448"/>
    <w:rsid w:val="008935AB"/>
    <w:rsid w:val="008935B3"/>
    <w:rsid w:val="00893B67"/>
    <w:rsid w:val="00893C97"/>
    <w:rsid w:val="00894732"/>
    <w:rsid w:val="0089480C"/>
    <w:rsid w:val="00894AFA"/>
    <w:rsid w:val="00895237"/>
    <w:rsid w:val="008962A4"/>
    <w:rsid w:val="008974A5"/>
    <w:rsid w:val="0089764B"/>
    <w:rsid w:val="0089778A"/>
    <w:rsid w:val="00897F6F"/>
    <w:rsid w:val="00897F94"/>
    <w:rsid w:val="008A0B1A"/>
    <w:rsid w:val="008A0B2A"/>
    <w:rsid w:val="008A0E6E"/>
    <w:rsid w:val="008A1962"/>
    <w:rsid w:val="008A1B78"/>
    <w:rsid w:val="008A24D7"/>
    <w:rsid w:val="008A2DC1"/>
    <w:rsid w:val="008A2E0A"/>
    <w:rsid w:val="008A3670"/>
    <w:rsid w:val="008A3F28"/>
    <w:rsid w:val="008A4183"/>
    <w:rsid w:val="008A47E9"/>
    <w:rsid w:val="008A4A3B"/>
    <w:rsid w:val="008A4DE1"/>
    <w:rsid w:val="008A4F01"/>
    <w:rsid w:val="008A645C"/>
    <w:rsid w:val="008A6E19"/>
    <w:rsid w:val="008A6EA2"/>
    <w:rsid w:val="008A705B"/>
    <w:rsid w:val="008A70A9"/>
    <w:rsid w:val="008A70E5"/>
    <w:rsid w:val="008A76F0"/>
    <w:rsid w:val="008A7DA1"/>
    <w:rsid w:val="008B0946"/>
    <w:rsid w:val="008B0D4B"/>
    <w:rsid w:val="008B10A5"/>
    <w:rsid w:val="008B178A"/>
    <w:rsid w:val="008B1D30"/>
    <w:rsid w:val="008B1F4F"/>
    <w:rsid w:val="008B2095"/>
    <w:rsid w:val="008B2794"/>
    <w:rsid w:val="008B28FD"/>
    <w:rsid w:val="008B2BB4"/>
    <w:rsid w:val="008B3536"/>
    <w:rsid w:val="008B3CD8"/>
    <w:rsid w:val="008B4485"/>
    <w:rsid w:val="008B4700"/>
    <w:rsid w:val="008B4FDC"/>
    <w:rsid w:val="008B5131"/>
    <w:rsid w:val="008B5216"/>
    <w:rsid w:val="008B549D"/>
    <w:rsid w:val="008B567D"/>
    <w:rsid w:val="008B626C"/>
    <w:rsid w:val="008B635E"/>
    <w:rsid w:val="008B7127"/>
    <w:rsid w:val="008C015C"/>
    <w:rsid w:val="008C0650"/>
    <w:rsid w:val="008C2C96"/>
    <w:rsid w:val="008C4423"/>
    <w:rsid w:val="008C4485"/>
    <w:rsid w:val="008C465E"/>
    <w:rsid w:val="008C4771"/>
    <w:rsid w:val="008C498B"/>
    <w:rsid w:val="008C4ABC"/>
    <w:rsid w:val="008C4F96"/>
    <w:rsid w:val="008C507F"/>
    <w:rsid w:val="008C53A6"/>
    <w:rsid w:val="008C57CA"/>
    <w:rsid w:val="008C5855"/>
    <w:rsid w:val="008C5B7B"/>
    <w:rsid w:val="008C5BC9"/>
    <w:rsid w:val="008C616A"/>
    <w:rsid w:val="008C6AFC"/>
    <w:rsid w:val="008C6EED"/>
    <w:rsid w:val="008C77F6"/>
    <w:rsid w:val="008D04C9"/>
    <w:rsid w:val="008D1C12"/>
    <w:rsid w:val="008D2292"/>
    <w:rsid w:val="008D2360"/>
    <w:rsid w:val="008D25B5"/>
    <w:rsid w:val="008D2AB9"/>
    <w:rsid w:val="008D44CD"/>
    <w:rsid w:val="008D4B22"/>
    <w:rsid w:val="008D4CB3"/>
    <w:rsid w:val="008D5204"/>
    <w:rsid w:val="008D6DAE"/>
    <w:rsid w:val="008D6FE8"/>
    <w:rsid w:val="008D7688"/>
    <w:rsid w:val="008E0097"/>
    <w:rsid w:val="008E009F"/>
    <w:rsid w:val="008E0D28"/>
    <w:rsid w:val="008E1254"/>
    <w:rsid w:val="008E12B0"/>
    <w:rsid w:val="008E1564"/>
    <w:rsid w:val="008E18A3"/>
    <w:rsid w:val="008E1E87"/>
    <w:rsid w:val="008E2543"/>
    <w:rsid w:val="008E2DEF"/>
    <w:rsid w:val="008E3436"/>
    <w:rsid w:val="008E354A"/>
    <w:rsid w:val="008E35E4"/>
    <w:rsid w:val="008E3E24"/>
    <w:rsid w:val="008E4161"/>
    <w:rsid w:val="008E5112"/>
    <w:rsid w:val="008E56AE"/>
    <w:rsid w:val="008E596D"/>
    <w:rsid w:val="008E5E48"/>
    <w:rsid w:val="008E66E2"/>
    <w:rsid w:val="008E7376"/>
    <w:rsid w:val="008F07F5"/>
    <w:rsid w:val="008F1057"/>
    <w:rsid w:val="008F13B8"/>
    <w:rsid w:val="008F1532"/>
    <w:rsid w:val="008F1860"/>
    <w:rsid w:val="008F19C4"/>
    <w:rsid w:val="008F2857"/>
    <w:rsid w:val="008F29E4"/>
    <w:rsid w:val="008F31B8"/>
    <w:rsid w:val="008F40BE"/>
    <w:rsid w:val="008F4125"/>
    <w:rsid w:val="008F41E9"/>
    <w:rsid w:val="008F53DE"/>
    <w:rsid w:val="008F5599"/>
    <w:rsid w:val="008F6988"/>
    <w:rsid w:val="008F6AE6"/>
    <w:rsid w:val="008F6E94"/>
    <w:rsid w:val="008F7AE5"/>
    <w:rsid w:val="008F7DB0"/>
    <w:rsid w:val="00900814"/>
    <w:rsid w:val="009013BF"/>
    <w:rsid w:val="00901FF2"/>
    <w:rsid w:val="0090310C"/>
    <w:rsid w:val="00903273"/>
    <w:rsid w:val="00904524"/>
    <w:rsid w:val="009048CD"/>
    <w:rsid w:val="00904E5C"/>
    <w:rsid w:val="00905A05"/>
    <w:rsid w:val="009067DE"/>
    <w:rsid w:val="00906A24"/>
    <w:rsid w:val="00906BE2"/>
    <w:rsid w:val="00907017"/>
    <w:rsid w:val="0090707D"/>
    <w:rsid w:val="00907215"/>
    <w:rsid w:val="0090771B"/>
    <w:rsid w:val="00907908"/>
    <w:rsid w:val="00907E7E"/>
    <w:rsid w:val="00910DA9"/>
    <w:rsid w:val="00910FD7"/>
    <w:rsid w:val="009113AE"/>
    <w:rsid w:val="009118CC"/>
    <w:rsid w:val="009121BA"/>
    <w:rsid w:val="009121F2"/>
    <w:rsid w:val="00912443"/>
    <w:rsid w:val="00912BC2"/>
    <w:rsid w:val="0091346B"/>
    <w:rsid w:val="00913A00"/>
    <w:rsid w:val="00913A0A"/>
    <w:rsid w:val="0091429D"/>
    <w:rsid w:val="00914744"/>
    <w:rsid w:val="0091493C"/>
    <w:rsid w:val="00915107"/>
    <w:rsid w:val="0091510C"/>
    <w:rsid w:val="0091617F"/>
    <w:rsid w:val="0091618D"/>
    <w:rsid w:val="00916608"/>
    <w:rsid w:val="00917315"/>
    <w:rsid w:val="00917498"/>
    <w:rsid w:val="009179C2"/>
    <w:rsid w:val="00917B9F"/>
    <w:rsid w:val="00920610"/>
    <w:rsid w:val="009206E5"/>
    <w:rsid w:val="00920ED3"/>
    <w:rsid w:val="00921532"/>
    <w:rsid w:val="00921C34"/>
    <w:rsid w:val="00921D84"/>
    <w:rsid w:val="009236A0"/>
    <w:rsid w:val="00924570"/>
    <w:rsid w:val="009246C9"/>
    <w:rsid w:val="0092514E"/>
    <w:rsid w:val="009256BD"/>
    <w:rsid w:val="0092586B"/>
    <w:rsid w:val="00925A37"/>
    <w:rsid w:val="00925C2F"/>
    <w:rsid w:val="00925D34"/>
    <w:rsid w:val="00926119"/>
    <w:rsid w:val="0092632E"/>
    <w:rsid w:val="00926539"/>
    <w:rsid w:val="00926C3D"/>
    <w:rsid w:val="009274B9"/>
    <w:rsid w:val="009278C3"/>
    <w:rsid w:val="00930214"/>
    <w:rsid w:val="00930C03"/>
    <w:rsid w:val="0093154F"/>
    <w:rsid w:val="00932075"/>
    <w:rsid w:val="00933209"/>
    <w:rsid w:val="009336B1"/>
    <w:rsid w:val="0093376A"/>
    <w:rsid w:val="00933952"/>
    <w:rsid w:val="0093412A"/>
    <w:rsid w:val="00934248"/>
    <w:rsid w:val="00934396"/>
    <w:rsid w:val="00936A87"/>
    <w:rsid w:val="00936D13"/>
    <w:rsid w:val="00937EA9"/>
    <w:rsid w:val="009400B0"/>
    <w:rsid w:val="009404A6"/>
    <w:rsid w:val="009408F1"/>
    <w:rsid w:val="00940D14"/>
    <w:rsid w:val="0094152B"/>
    <w:rsid w:val="009418F2"/>
    <w:rsid w:val="00941954"/>
    <w:rsid w:val="009419D7"/>
    <w:rsid w:val="00941A6D"/>
    <w:rsid w:val="00941AB2"/>
    <w:rsid w:val="00941AFD"/>
    <w:rsid w:val="0094270F"/>
    <w:rsid w:val="00942C75"/>
    <w:rsid w:val="00942DBE"/>
    <w:rsid w:val="00942F42"/>
    <w:rsid w:val="00943C5B"/>
    <w:rsid w:val="00944D2B"/>
    <w:rsid w:val="00945072"/>
    <w:rsid w:val="00945462"/>
    <w:rsid w:val="00945607"/>
    <w:rsid w:val="00946674"/>
    <w:rsid w:val="009469DB"/>
    <w:rsid w:val="00946C62"/>
    <w:rsid w:val="00946E60"/>
    <w:rsid w:val="00946F40"/>
    <w:rsid w:val="00947563"/>
    <w:rsid w:val="009505CD"/>
    <w:rsid w:val="00950918"/>
    <w:rsid w:val="00950A79"/>
    <w:rsid w:val="00951835"/>
    <w:rsid w:val="00951894"/>
    <w:rsid w:val="00951CFE"/>
    <w:rsid w:val="0095249D"/>
    <w:rsid w:val="0095262C"/>
    <w:rsid w:val="00952639"/>
    <w:rsid w:val="009527FD"/>
    <w:rsid w:val="00952912"/>
    <w:rsid w:val="00952990"/>
    <w:rsid w:val="00952C5A"/>
    <w:rsid w:val="00952DC1"/>
    <w:rsid w:val="00953490"/>
    <w:rsid w:val="009535C4"/>
    <w:rsid w:val="00953888"/>
    <w:rsid w:val="00953EB5"/>
    <w:rsid w:val="009543BF"/>
    <w:rsid w:val="0095469A"/>
    <w:rsid w:val="009560AA"/>
    <w:rsid w:val="009566D6"/>
    <w:rsid w:val="0095671B"/>
    <w:rsid w:val="00956FED"/>
    <w:rsid w:val="00957810"/>
    <w:rsid w:val="00957820"/>
    <w:rsid w:val="00960CF2"/>
    <w:rsid w:val="00961018"/>
    <w:rsid w:val="009615A3"/>
    <w:rsid w:val="00962098"/>
    <w:rsid w:val="00962162"/>
    <w:rsid w:val="0096219B"/>
    <w:rsid w:val="00962304"/>
    <w:rsid w:val="009623AA"/>
    <w:rsid w:val="00964A07"/>
    <w:rsid w:val="00964D95"/>
    <w:rsid w:val="009650AD"/>
    <w:rsid w:val="00965722"/>
    <w:rsid w:val="0096577A"/>
    <w:rsid w:val="00965D4B"/>
    <w:rsid w:val="00965FE5"/>
    <w:rsid w:val="0096690A"/>
    <w:rsid w:val="00966F7B"/>
    <w:rsid w:val="00967B9F"/>
    <w:rsid w:val="00967DFB"/>
    <w:rsid w:val="0097029C"/>
    <w:rsid w:val="00970300"/>
    <w:rsid w:val="0097033F"/>
    <w:rsid w:val="00970A0F"/>
    <w:rsid w:val="00970DB4"/>
    <w:rsid w:val="00970E35"/>
    <w:rsid w:val="00971914"/>
    <w:rsid w:val="00971D4A"/>
    <w:rsid w:val="009728F9"/>
    <w:rsid w:val="00973F44"/>
    <w:rsid w:val="009748BE"/>
    <w:rsid w:val="0097580B"/>
    <w:rsid w:val="00975DBC"/>
    <w:rsid w:val="00976076"/>
    <w:rsid w:val="009763ED"/>
    <w:rsid w:val="00977D66"/>
    <w:rsid w:val="0098021F"/>
    <w:rsid w:val="0098157C"/>
    <w:rsid w:val="00981C7B"/>
    <w:rsid w:val="009820BA"/>
    <w:rsid w:val="009821FC"/>
    <w:rsid w:val="009822F3"/>
    <w:rsid w:val="00982590"/>
    <w:rsid w:val="00982B58"/>
    <w:rsid w:val="00983B4C"/>
    <w:rsid w:val="00983D85"/>
    <w:rsid w:val="00983EEB"/>
    <w:rsid w:val="0098429D"/>
    <w:rsid w:val="00984486"/>
    <w:rsid w:val="0098589C"/>
    <w:rsid w:val="00985EB2"/>
    <w:rsid w:val="009864F6"/>
    <w:rsid w:val="00987A72"/>
    <w:rsid w:val="00987B50"/>
    <w:rsid w:val="0099088A"/>
    <w:rsid w:val="00990899"/>
    <w:rsid w:val="00990960"/>
    <w:rsid w:val="009909B4"/>
    <w:rsid w:val="00990B03"/>
    <w:rsid w:val="00990D0D"/>
    <w:rsid w:val="00990E3C"/>
    <w:rsid w:val="0099153F"/>
    <w:rsid w:val="009916F2"/>
    <w:rsid w:val="00992177"/>
    <w:rsid w:val="00992DD4"/>
    <w:rsid w:val="009932B2"/>
    <w:rsid w:val="00995200"/>
    <w:rsid w:val="00995374"/>
    <w:rsid w:val="009964FE"/>
    <w:rsid w:val="00997348"/>
    <w:rsid w:val="009976DB"/>
    <w:rsid w:val="00997880"/>
    <w:rsid w:val="009A059C"/>
    <w:rsid w:val="009A155B"/>
    <w:rsid w:val="009A1585"/>
    <w:rsid w:val="009A19C9"/>
    <w:rsid w:val="009A1FB0"/>
    <w:rsid w:val="009A207E"/>
    <w:rsid w:val="009A2AA6"/>
    <w:rsid w:val="009A2C07"/>
    <w:rsid w:val="009A2C97"/>
    <w:rsid w:val="009A329D"/>
    <w:rsid w:val="009A3F7E"/>
    <w:rsid w:val="009A47C2"/>
    <w:rsid w:val="009A4A1E"/>
    <w:rsid w:val="009A562D"/>
    <w:rsid w:val="009A6378"/>
    <w:rsid w:val="009A66E5"/>
    <w:rsid w:val="009A7107"/>
    <w:rsid w:val="009A7397"/>
    <w:rsid w:val="009A7C84"/>
    <w:rsid w:val="009A7D17"/>
    <w:rsid w:val="009A7F19"/>
    <w:rsid w:val="009B01ED"/>
    <w:rsid w:val="009B02BA"/>
    <w:rsid w:val="009B07C5"/>
    <w:rsid w:val="009B097E"/>
    <w:rsid w:val="009B0A3A"/>
    <w:rsid w:val="009B0C2C"/>
    <w:rsid w:val="009B1FDD"/>
    <w:rsid w:val="009B3266"/>
    <w:rsid w:val="009B3334"/>
    <w:rsid w:val="009B36E3"/>
    <w:rsid w:val="009B3E8D"/>
    <w:rsid w:val="009B44FC"/>
    <w:rsid w:val="009B46A9"/>
    <w:rsid w:val="009B4F6F"/>
    <w:rsid w:val="009B5377"/>
    <w:rsid w:val="009B578E"/>
    <w:rsid w:val="009B5AD4"/>
    <w:rsid w:val="009B6095"/>
    <w:rsid w:val="009B6F55"/>
    <w:rsid w:val="009B76EC"/>
    <w:rsid w:val="009C0DE3"/>
    <w:rsid w:val="009C0E6D"/>
    <w:rsid w:val="009C1570"/>
    <w:rsid w:val="009C197E"/>
    <w:rsid w:val="009C2076"/>
    <w:rsid w:val="009C33D2"/>
    <w:rsid w:val="009C3879"/>
    <w:rsid w:val="009C4CC3"/>
    <w:rsid w:val="009C505E"/>
    <w:rsid w:val="009C50FD"/>
    <w:rsid w:val="009C5780"/>
    <w:rsid w:val="009C5823"/>
    <w:rsid w:val="009C59F1"/>
    <w:rsid w:val="009C5A6E"/>
    <w:rsid w:val="009C7461"/>
    <w:rsid w:val="009C76AE"/>
    <w:rsid w:val="009C7880"/>
    <w:rsid w:val="009C7EFA"/>
    <w:rsid w:val="009D0236"/>
    <w:rsid w:val="009D044C"/>
    <w:rsid w:val="009D04F1"/>
    <w:rsid w:val="009D05DF"/>
    <w:rsid w:val="009D16D3"/>
    <w:rsid w:val="009D241E"/>
    <w:rsid w:val="009D24DC"/>
    <w:rsid w:val="009D25E1"/>
    <w:rsid w:val="009D29D5"/>
    <w:rsid w:val="009D2BAA"/>
    <w:rsid w:val="009D2CE8"/>
    <w:rsid w:val="009D301C"/>
    <w:rsid w:val="009D40CB"/>
    <w:rsid w:val="009D44C1"/>
    <w:rsid w:val="009D5A54"/>
    <w:rsid w:val="009D68F4"/>
    <w:rsid w:val="009D7313"/>
    <w:rsid w:val="009D7519"/>
    <w:rsid w:val="009D79EA"/>
    <w:rsid w:val="009D7DD1"/>
    <w:rsid w:val="009E062C"/>
    <w:rsid w:val="009E13D7"/>
    <w:rsid w:val="009E156F"/>
    <w:rsid w:val="009E1CBA"/>
    <w:rsid w:val="009E265F"/>
    <w:rsid w:val="009E29EB"/>
    <w:rsid w:val="009E3DDB"/>
    <w:rsid w:val="009E42C8"/>
    <w:rsid w:val="009E4AA5"/>
    <w:rsid w:val="009E4C88"/>
    <w:rsid w:val="009E6A9F"/>
    <w:rsid w:val="009F05F8"/>
    <w:rsid w:val="009F0791"/>
    <w:rsid w:val="009F0E20"/>
    <w:rsid w:val="009F15C2"/>
    <w:rsid w:val="009F1D25"/>
    <w:rsid w:val="009F2632"/>
    <w:rsid w:val="009F295A"/>
    <w:rsid w:val="009F2D85"/>
    <w:rsid w:val="009F3C36"/>
    <w:rsid w:val="009F402C"/>
    <w:rsid w:val="009F4875"/>
    <w:rsid w:val="009F49CA"/>
    <w:rsid w:val="009F4BAB"/>
    <w:rsid w:val="009F507D"/>
    <w:rsid w:val="009F5653"/>
    <w:rsid w:val="009F5A2D"/>
    <w:rsid w:val="009F68E5"/>
    <w:rsid w:val="009F743D"/>
    <w:rsid w:val="009F75B3"/>
    <w:rsid w:val="009F76DF"/>
    <w:rsid w:val="009F77A7"/>
    <w:rsid w:val="009F795B"/>
    <w:rsid w:val="009F7DB8"/>
    <w:rsid w:val="00A00078"/>
    <w:rsid w:val="00A008B5"/>
    <w:rsid w:val="00A01224"/>
    <w:rsid w:val="00A012EB"/>
    <w:rsid w:val="00A01902"/>
    <w:rsid w:val="00A0259E"/>
    <w:rsid w:val="00A025DC"/>
    <w:rsid w:val="00A02B28"/>
    <w:rsid w:val="00A040AB"/>
    <w:rsid w:val="00A04853"/>
    <w:rsid w:val="00A04DDC"/>
    <w:rsid w:val="00A05153"/>
    <w:rsid w:val="00A05628"/>
    <w:rsid w:val="00A056D8"/>
    <w:rsid w:val="00A058EE"/>
    <w:rsid w:val="00A05BB4"/>
    <w:rsid w:val="00A06C5F"/>
    <w:rsid w:val="00A06DB1"/>
    <w:rsid w:val="00A075F4"/>
    <w:rsid w:val="00A07ED4"/>
    <w:rsid w:val="00A1007D"/>
    <w:rsid w:val="00A10456"/>
    <w:rsid w:val="00A1073D"/>
    <w:rsid w:val="00A10AA2"/>
    <w:rsid w:val="00A113D1"/>
    <w:rsid w:val="00A1189A"/>
    <w:rsid w:val="00A11D88"/>
    <w:rsid w:val="00A121F0"/>
    <w:rsid w:val="00A12399"/>
    <w:rsid w:val="00A127C9"/>
    <w:rsid w:val="00A128F9"/>
    <w:rsid w:val="00A12CEE"/>
    <w:rsid w:val="00A12FBB"/>
    <w:rsid w:val="00A131BE"/>
    <w:rsid w:val="00A1323A"/>
    <w:rsid w:val="00A132BA"/>
    <w:rsid w:val="00A1372B"/>
    <w:rsid w:val="00A13BD1"/>
    <w:rsid w:val="00A14FF8"/>
    <w:rsid w:val="00A15857"/>
    <w:rsid w:val="00A159C2"/>
    <w:rsid w:val="00A15DF5"/>
    <w:rsid w:val="00A16252"/>
    <w:rsid w:val="00A177E4"/>
    <w:rsid w:val="00A17C2E"/>
    <w:rsid w:val="00A201C1"/>
    <w:rsid w:val="00A20603"/>
    <w:rsid w:val="00A209AD"/>
    <w:rsid w:val="00A22792"/>
    <w:rsid w:val="00A23B38"/>
    <w:rsid w:val="00A23C88"/>
    <w:rsid w:val="00A249B8"/>
    <w:rsid w:val="00A24A51"/>
    <w:rsid w:val="00A25439"/>
    <w:rsid w:val="00A26313"/>
    <w:rsid w:val="00A267D5"/>
    <w:rsid w:val="00A26EFC"/>
    <w:rsid w:val="00A276A8"/>
    <w:rsid w:val="00A27E3A"/>
    <w:rsid w:val="00A30160"/>
    <w:rsid w:val="00A303C9"/>
    <w:rsid w:val="00A30416"/>
    <w:rsid w:val="00A3093B"/>
    <w:rsid w:val="00A30C8B"/>
    <w:rsid w:val="00A32081"/>
    <w:rsid w:val="00A33019"/>
    <w:rsid w:val="00A33600"/>
    <w:rsid w:val="00A3362C"/>
    <w:rsid w:val="00A33E8A"/>
    <w:rsid w:val="00A34146"/>
    <w:rsid w:val="00A35253"/>
    <w:rsid w:val="00A35357"/>
    <w:rsid w:val="00A35F46"/>
    <w:rsid w:val="00A363B0"/>
    <w:rsid w:val="00A36446"/>
    <w:rsid w:val="00A368D1"/>
    <w:rsid w:val="00A37A07"/>
    <w:rsid w:val="00A37F22"/>
    <w:rsid w:val="00A4038B"/>
    <w:rsid w:val="00A41249"/>
    <w:rsid w:val="00A416EB"/>
    <w:rsid w:val="00A423A9"/>
    <w:rsid w:val="00A423F4"/>
    <w:rsid w:val="00A42B43"/>
    <w:rsid w:val="00A42CAE"/>
    <w:rsid w:val="00A431BE"/>
    <w:rsid w:val="00A44250"/>
    <w:rsid w:val="00A45154"/>
    <w:rsid w:val="00A4577B"/>
    <w:rsid w:val="00A4579F"/>
    <w:rsid w:val="00A46154"/>
    <w:rsid w:val="00A50267"/>
    <w:rsid w:val="00A50284"/>
    <w:rsid w:val="00A502B2"/>
    <w:rsid w:val="00A50562"/>
    <w:rsid w:val="00A51B42"/>
    <w:rsid w:val="00A51D32"/>
    <w:rsid w:val="00A52687"/>
    <w:rsid w:val="00A52AAB"/>
    <w:rsid w:val="00A53E6E"/>
    <w:rsid w:val="00A53F5A"/>
    <w:rsid w:val="00A54E81"/>
    <w:rsid w:val="00A5506C"/>
    <w:rsid w:val="00A55328"/>
    <w:rsid w:val="00A553D4"/>
    <w:rsid w:val="00A556E4"/>
    <w:rsid w:val="00A56607"/>
    <w:rsid w:val="00A5706C"/>
    <w:rsid w:val="00A603BB"/>
    <w:rsid w:val="00A60905"/>
    <w:rsid w:val="00A60D77"/>
    <w:rsid w:val="00A616D7"/>
    <w:rsid w:val="00A61E64"/>
    <w:rsid w:val="00A62959"/>
    <w:rsid w:val="00A63DF9"/>
    <w:rsid w:val="00A6498F"/>
    <w:rsid w:val="00A64A5D"/>
    <w:rsid w:val="00A650C1"/>
    <w:rsid w:val="00A654BC"/>
    <w:rsid w:val="00A6580F"/>
    <w:rsid w:val="00A65A31"/>
    <w:rsid w:val="00A65C70"/>
    <w:rsid w:val="00A66066"/>
    <w:rsid w:val="00A66E52"/>
    <w:rsid w:val="00A678B6"/>
    <w:rsid w:val="00A70531"/>
    <w:rsid w:val="00A70841"/>
    <w:rsid w:val="00A70A07"/>
    <w:rsid w:val="00A71006"/>
    <w:rsid w:val="00A71523"/>
    <w:rsid w:val="00A7170E"/>
    <w:rsid w:val="00A7217E"/>
    <w:rsid w:val="00A72668"/>
    <w:rsid w:val="00A727E3"/>
    <w:rsid w:val="00A7321D"/>
    <w:rsid w:val="00A73690"/>
    <w:rsid w:val="00A73CFB"/>
    <w:rsid w:val="00A73DE4"/>
    <w:rsid w:val="00A74033"/>
    <w:rsid w:val="00A7445F"/>
    <w:rsid w:val="00A7452C"/>
    <w:rsid w:val="00A7458A"/>
    <w:rsid w:val="00A74BE2"/>
    <w:rsid w:val="00A75708"/>
    <w:rsid w:val="00A757CA"/>
    <w:rsid w:val="00A75CA3"/>
    <w:rsid w:val="00A76A72"/>
    <w:rsid w:val="00A76A7A"/>
    <w:rsid w:val="00A76C86"/>
    <w:rsid w:val="00A7727E"/>
    <w:rsid w:val="00A7749B"/>
    <w:rsid w:val="00A77DCF"/>
    <w:rsid w:val="00A77F19"/>
    <w:rsid w:val="00A802C0"/>
    <w:rsid w:val="00A80A6F"/>
    <w:rsid w:val="00A80A91"/>
    <w:rsid w:val="00A81308"/>
    <w:rsid w:val="00A81325"/>
    <w:rsid w:val="00A81632"/>
    <w:rsid w:val="00A81B4F"/>
    <w:rsid w:val="00A81B5E"/>
    <w:rsid w:val="00A8244E"/>
    <w:rsid w:val="00A82A00"/>
    <w:rsid w:val="00A82F2A"/>
    <w:rsid w:val="00A82F4E"/>
    <w:rsid w:val="00A8301E"/>
    <w:rsid w:val="00A8309E"/>
    <w:rsid w:val="00A8312C"/>
    <w:rsid w:val="00A84098"/>
    <w:rsid w:val="00A84894"/>
    <w:rsid w:val="00A84948"/>
    <w:rsid w:val="00A84B34"/>
    <w:rsid w:val="00A852F6"/>
    <w:rsid w:val="00A85497"/>
    <w:rsid w:val="00A8587F"/>
    <w:rsid w:val="00A85EAB"/>
    <w:rsid w:val="00A86777"/>
    <w:rsid w:val="00A86EDD"/>
    <w:rsid w:val="00A872B5"/>
    <w:rsid w:val="00A878CB"/>
    <w:rsid w:val="00A87F00"/>
    <w:rsid w:val="00A91135"/>
    <w:rsid w:val="00A924C9"/>
    <w:rsid w:val="00A9434E"/>
    <w:rsid w:val="00A94512"/>
    <w:rsid w:val="00A94F39"/>
    <w:rsid w:val="00A952C7"/>
    <w:rsid w:val="00A95849"/>
    <w:rsid w:val="00AA0C3C"/>
    <w:rsid w:val="00AA1476"/>
    <w:rsid w:val="00AA19D2"/>
    <w:rsid w:val="00AA2C20"/>
    <w:rsid w:val="00AA3560"/>
    <w:rsid w:val="00AA41B4"/>
    <w:rsid w:val="00AA427E"/>
    <w:rsid w:val="00AA4642"/>
    <w:rsid w:val="00AA5269"/>
    <w:rsid w:val="00AA53EB"/>
    <w:rsid w:val="00AA55F0"/>
    <w:rsid w:val="00AA565A"/>
    <w:rsid w:val="00AA568D"/>
    <w:rsid w:val="00AA6111"/>
    <w:rsid w:val="00AA65BA"/>
    <w:rsid w:val="00AA6986"/>
    <w:rsid w:val="00AA6D85"/>
    <w:rsid w:val="00AA6F1D"/>
    <w:rsid w:val="00AA7737"/>
    <w:rsid w:val="00AA7EE1"/>
    <w:rsid w:val="00AB0781"/>
    <w:rsid w:val="00AB07E0"/>
    <w:rsid w:val="00AB09E1"/>
    <w:rsid w:val="00AB0A8A"/>
    <w:rsid w:val="00AB154A"/>
    <w:rsid w:val="00AB1BE9"/>
    <w:rsid w:val="00AB36D3"/>
    <w:rsid w:val="00AB3B82"/>
    <w:rsid w:val="00AB3F7F"/>
    <w:rsid w:val="00AB4DDB"/>
    <w:rsid w:val="00AB5850"/>
    <w:rsid w:val="00AB5D37"/>
    <w:rsid w:val="00AB65A7"/>
    <w:rsid w:val="00AB6F5E"/>
    <w:rsid w:val="00AB7C55"/>
    <w:rsid w:val="00AB7FD9"/>
    <w:rsid w:val="00AC037E"/>
    <w:rsid w:val="00AC0C63"/>
    <w:rsid w:val="00AC1815"/>
    <w:rsid w:val="00AC18AA"/>
    <w:rsid w:val="00AC1D2B"/>
    <w:rsid w:val="00AC21D0"/>
    <w:rsid w:val="00AC314F"/>
    <w:rsid w:val="00AC3418"/>
    <w:rsid w:val="00AC3641"/>
    <w:rsid w:val="00AC36B5"/>
    <w:rsid w:val="00AC3909"/>
    <w:rsid w:val="00AC3B39"/>
    <w:rsid w:val="00AC3E91"/>
    <w:rsid w:val="00AC3ED8"/>
    <w:rsid w:val="00AC44D0"/>
    <w:rsid w:val="00AC44F4"/>
    <w:rsid w:val="00AC460C"/>
    <w:rsid w:val="00AC4EB5"/>
    <w:rsid w:val="00AC5714"/>
    <w:rsid w:val="00AC5D82"/>
    <w:rsid w:val="00AC63F0"/>
    <w:rsid w:val="00AC6730"/>
    <w:rsid w:val="00AC72D9"/>
    <w:rsid w:val="00AC748B"/>
    <w:rsid w:val="00AC775C"/>
    <w:rsid w:val="00AC7D3C"/>
    <w:rsid w:val="00AC7F6D"/>
    <w:rsid w:val="00AD0AA4"/>
    <w:rsid w:val="00AD11BC"/>
    <w:rsid w:val="00AD136F"/>
    <w:rsid w:val="00AD153B"/>
    <w:rsid w:val="00AD2060"/>
    <w:rsid w:val="00AD22FC"/>
    <w:rsid w:val="00AD2524"/>
    <w:rsid w:val="00AD2D86"/>
    <w:rsid w:val="00AD43C5"/>
    <w:rsid w:val="00AD4A47"/>
    <w:rsid w:val="00AD50DD"/>
    <w:rsid w:val="00AD537A"/>
    <w:rsid w:val="00AD6209"/>
    <w:rsid w:val="00AD67A2"/>
    <w:rsid w:val="00AE00C3"/>
    <w:rsid w:val="00AE0CAA"/>
    <w:rsid w:val="00AE0E8C"/>
    <w:rsid w:val="00AE1294"/>
    <w:rsid w:val="00AE13D1"/>
    <w:rsid w:val="00AE199A"/>
    <w:rsid w:val="00AE23C5"/>
    <w:rsid w:val="00AE2964"/>
    <w:rsid w:val="00AE2A5F"/>
    <w:rsid w:val="00AE3350"/>
    <w:rsid w:val="00AE39A2"/>
    <w:rsid w:val="00AE3F51"/>
    <w:rsid w:val="00AE4406"/>
    <w:rsid w:val="00AE495C"/>
    <w:rsid w:val="00AE593F"/>
    <w:rsid w:val="00AE6340"/>
    <w:rsid w:val="00AE6563"/>
    <w:rsid w:val="00AE6689"/>
    <w:rsid w:val="00AE6ADB"/>
    <w:rsid w:val="00AE710E"/>
    <w:rsid w:val="00AE755B"/>
    <w:rsid w:val="00AE7D88"/>
    <w:rsid w:val="00AF0861"/>
    <w:rsid w:val="00AF0D5A"/>
    <w:rsid w:val="00AF1780"/>
    <w:rsid w:val="00AF1F04"/>
    <w:rsid w:val="00AF23E0"/>
    <w:rsid w:val="00AF2969"/>
    <w:rsid w:val="00AF2F30"/>
    <w:rsid w:val="00AF34E8"/>
    <w:rsid w:val="00AF36DA"/>
    <w:rsid w:val="00AF4299"/>
    <w:rsid w:val="00AF42AF"/>
    <w:rsid w:val="00AF4A8E"/>
    <w:rsid w:val="00AF53E2"/>
    <w:rsid w:val="00AF5FE4"/>
    <w:rsid w:val="00AF6385"/>
    <w:rsid w:val="00AF70E7"/>
    <w:rsid w:val="00AF748F"/>
    <w:rsid w:val="00AF7591"/>
    <w:rsid w:val="00AF7736"/>
    <w:rsid w:val="00AF7ADD"/>
    <w:rsid w:val="00AF7BDD"/>
    <w:rsid w:val="00AF7ECC"/>
    <w:rsid w:val="00B00012"/>
    <w:rsid w:val="00B002AE"/>
    <w:rsid w:val="00B00CE2"/>
    <w:rsid w:val="00B010DA"/>
    <w:rsid w:val="00B0199D"/>
    <w:rsid w:val="00B022CD"/>
    <w:rsid w:val="00B02676"/>
    <w:rsid w:val="00B0299F"/>
    <w:rsid w:val="00B03C8F"/>
    <w:rsid w:val="00B05C07"/>
    <w:rsid w:val="00B05F3F"/>
    <w:rsid w:val="00B064F3"/>
    <w:rsid w:val="00B06C00"/>
    <w:rsid w:val="00B06D50"/>
    <w:rsid w:val="00B06E61"/>
    <w:rsid w:val="00B07046"/>
    <w:rsid w:val="00B071AE"/>
    <w:rsid w:val="00B0721B"/>
    <w:rsid w:val="00B072DC"/>
    <w:rsid w:val="00B07C6A"/>
    <w:rsid w:val="00B07E8F"/>
    <w:rsid w:val="00B07F4D"/>
    <w:rsid w:val="00B105AF"/>
    <w:rsid w:val="00B105DE"/>
    <w:rsid w:val="00B10B3E"/>
    <w:rsid w:val="00B10D89"/>
    <w:rsid w:val="00B1101B"/>
    <w:rsid w:val="00B1105E"/>
    <w:rsid w:val="00B11B01"/>
    <w:rsid w:val="00B11BE0"/>
    <w:rsid w:val="00B123E4"/>
    <w:rsid w:val="00B13296"/>
    <w:rsid w:val="00B133B8"/>
    <w:rsid w:val="00B136E0"/>
    <w:rsid w:val="00B13DCB"/>
    <w:rsid w:val="00B1407B"/>
    <w:rsid w:val="00B1498E"/>
    <w:rsid w:val="00B14F91"/>
    <w:rsid w:val="00B1501A"/>
    <w:rsid w:val="00B150BF"/>
    <w:rsid w:val="00B15139"/>
    <w:rsid w:val="00B15181"/>
    <w:rsid w:val="00B166AE"/>
    <w:rsid w:val="00B16907"/>
    <w:rsid w:val="00B16B1E"/>
    <w:rsid w:val="00B174A9"/>
    <w:rsid w:val="00B176BD"/>
    <w:rsid w:val="00B2015C"/>
    <w:rsid w:val="00B2041C"/>
    <w:rsid w:val="00B206DB"/>
    <w:rsid w:val="00B20B94"/>
    <w:rsid w:val="00B20C4E"/>
    <w:rsid w:val="00B20EB7"/>
    <w:rsid w:val="00B218E4"/>
    <w:rsid w:val="00B221FA"/>
    <w:rsid w:val="00B22B53"/>
    <w:rsid w:val="00B22EA6"/>
    <w:rsid w:val="00B235AF"/>
    <w:rsid w:val="00B2378E"/>
    <w:rsid w:val="00B23A8C"/>
    <w:rsid w:val="00B246E6"/>
    <w:rsid w:val="00B24BAD"/>
    <w:rsid w:val="00B258D7"/>
    <w:rsid w:val="00B26BD0"/>
    <w:rsid w:val="00B26EE2"/>
    <w:rsid w:val="00B275A6"/>
    <w:rsid w:val="00B27DBB"/>
    <w:rsid w:val="00B30238"/>
    <w:rsid w:val="00B30553"/>
    <w:rsid w:val="00B30753"/>
    <w:rsid w:val="00B30B1F"/>
    <w:rsid w:val="00B30C7E"/>
    <w:rsid w:val="00B31EA5"/>
    <w:rsid w:val="00B3210E"/>
    <w:rsid w:val="00B327C8"/>
    <w:rsid w:val="00B32811"/>
    <w:rsid w:val="00B32CA2"/>
    <w:rsid w:val="00B33580"/>
    <w:rsid w:val="00B35CFC"/>
    <w:rsid w:val="00B35E21"/>
    <w:rsid w:val="00B36BBB"/>
    <w:rsid w:val="00B36DCA"/>
    <w:rsid w:val="00B36E9B"/>
    <w:rsid w:val="00B37329"/>
    <w:rsid w:val="00B37396"/>
    <w:rsid w:val="00B37898"/>
    <w:rsid w:val="00B40BDD"/>
    <w:rsid w:val="00B40D47"/>
    <w:rsid w:val="00B40E02"/>
    <w:rsid w:val="00B412BB"/>
    <w:rsid w:val="00B41827"/>
    <w:rsid w:val="00B419C3"/>
    <w:rsid w:val="00B4297D"/>
    <w:rsid w:val="00B434D1"/>
    <w:rsid w:val="00B434EC"/>
    <w:rsid w:val="00B43DF6"/>
    <w:rsid w:val="00B447F9"/>
    <w:rsid w:val="00B44AAB"/>
    <w:rsid w:val="00B452DC"/>
    <w:rsid w:val="00B45580"/>
    <w:rsid w:val="00B45919"/>
    <w:rsid w:val="00B45C0C"/>
    <w:rsid w:val="00B45F17"/>
    <w:rsid w:val="00B4621E"/>
    <w:rsid w:val="00B5025C"/>
    <w:rsid w:val="00B503DD"/>
    <w:rsid w:val="00B5118E"/>
    <w:rsid w:val="00B519A1"/>
    <w:rsid w:val="00B51DC0"/>
    <w:rsid w:val="00B5223E"/>
    <w:rsid w:val="00B52995"/>
    <w:rsid w:val="00B529F6"/>
    <w:rsid w:val="00B52EBE"/>
    <w:rsid w:val="00B52F84"/>
    <w:rsid w:val="00B531A1"/>
    <w:rsid w:val="00B5326C"/>
    <w:rsid w:val="00B55139"/>
    <w:rsid w:val="00B55675"/>
    <w:rsid w:val="00B55707"/>
    <w:rsid w:val="00B557F9"/>
    <w:rsid w:val="00B55A14"/>
    <w:rsid w:val="00B55E7E"/>
    <w:rsid w:val="00B5608D"/>
    <w:rsid w:val="00B57EFD"/>
    <w:rsid w:val="00B605AB"/>
    <w:rsid w:val="00B60A52"/>
    <w:rsid w:val="00B60E96"/>
    <w:rsid w:val="00B60F32"/>
    <w:rsid w:val="00B60FF3"/>
    <w:rsid w:val="00B616ED"/>
    <w:rsid w:val="00B61A5C"/>
    <w:rsid w:val="00B62085"/>
    <w:rsid w:val="00B62162"/>
    <w:rsid w:val="00B62AAE"/>
    <w:rsid w:val="00B634EA"/>
    <w:rsid w:val="00B63587"/>
    <w:rsid w:val="00B63C5B"/>
    <w:rsid w:val="00B6490A"/>
    <w:rsid w:val="00B66944"/>
    <w:rsid w:val="00B66E79"/>
    <w:rsid w:val="00B676A8"/>
    <w:rsid w:val="00B7064B"/>
    <w:rsid w:val="00B70C38"/>
    <w:rsid w:val="00B714BA"/>
    <w:rsid w:val="00B7166F"/>
    <w:rsid w:val="00B717C1"/>
    <w:rsid w:val="00B725F6"/>
    <w:rsid w:val="00B73201"/>
    <w:rsid w:val="00B733E6"/>
    <w:rsid w:val="00B7357E"/>
    <w:rsid w:val="00B73A42"/>
    <w:rsid w:val="00B74E7C"/>
    <w:rsid w:val="00B75AE3"/>
    <w:rsid w:val="00B75E25"/>
    <w:rsid w:val="00B778B6"/>
    <w:rsid w:val="00B8088A"/>
    <w:rsid w:val="00B81475"/>
    <w:rsid w:val="00B81F12"/>
    <w:rsid w:val="00B827A8"/>
    <w:rsid w:val="00B8282C"/>
    <w:rsid w:val="00B82A27"/>
    <w:rsid w:val="00B840B5"/>
    <w:rsid w:val="00B84508"/>
    <w:rsid w:val="00B84925"/>
    <w:rsid w:val="00B84AE7"/>
    <w:rsid w:val="00B84B22"/>
    <w:rsid w:val="00B84BB0"/>
    <w:rsid w:val="00B85E35"/>
    <w:rsid w:val="00B861DD"/>
    <w:rsid w:val="00B86634"/>
    <w:rsid w:val="00B87BA1"/>
    <w:rsid w:val="00B87C47"/>
    <w:rsid w:val="00B87E4B"/>
    <w:rsid w:val="00B87F61"/>
    <w:rsid w:val="00B907AE"/>
    <w:rsid w:val="00B91B90"/>
    <w:rsid w:val="00B923BE"/>
    <w:rsid w:val="00B9240D"/>
    <w:rsid w:val="00B929CC"/>
    <w:rsid w:val="00B93E92"/>
    <w:rsid w:val="00B93EC0"/>
    <w:rsid w:val="00B943CC"/>
    <w:rsid w:val="00B94747"/>
    <w:rsid w:val="00B95104"/>
    <w:rsid w:val="00B96182"/>
    <w:rsid w:val="00B9631E"/>
    <w:rsid w:val="00B96AB9"/>
    <w:rsid w:val="00B96E60"/>
    <w:rsid w:val="00B96F7C"/>
    <w:rsid w:val="00B97822"/>
    <w:rsid w:val="00B97B66"/>
    <w:rsid w:val="00BA0204"/>
    <w:rsid w:val="00BA08BB"/>
    <w:rsid w:val="00BA1495"/>
    <w:rsid w:val="00BA19DC"/>
    <w:rsid w:val="00BA1EED"/>
    <w:rsid w:val="00BA332D"/>
    <w:rsid w:val="00BA362D"/>
    <w:rsid w:val="00BA366E"/>
    <w:rsid w:val="00BA3858"/>
    <w:rsid w:val="00BA399D"/>
    <w:rsid w:val="00BA3B65"/>
    <w:rsid w:val="00BA4BF3"/>
    <w:rsid w:val="00BA4FF6"/>
    <w:rsid w:val="00BA52BE"/>
    <w:rsid w:val="00BA5973"/>
    <w:rsid w:val="00BA641A"/>
    <w:rsid w:val="00BA64F8"/>
    <w:rsid w:val="00BA75D1"/>
    <w:rsid w:val="00BB0BAD"/>
    <w:rsid w:val="00BB1180"/>
    <w:rsid w:val="00BB1EB4"/>
    <w:rsid w:val="00BB22A9"/>
    <w:rsid w:val="00BB28F3"/>
    <w:rsid w:val="00BB2A26"/>
    <w:rsid w:val="00BB2A50"/>
    <w:rsid w:val="00BB2E8F"/>
    <w:rsid w:val="00BB2E99"/>
    <w:rsid w:val="00BB3656"/>
    <w:rsid w:val="00BB3800"/>
    <w:rsid w:val="00BB428E"/>
    <w:rsid w:val="00BB4526"/>
    <w:rsid w:val="00BB51E1"/>
    <w:rsid w:val="00BB6448"/>
    <w:rsid w:val="00BB67C1"/>
    <w:rsid w:val="00BC14A4"/>
    <w:rsid w:val="00BC1713"/>
    <w:rsid w:val="00BC1A8A"/>
    <w:rsid w:val="00BC1C9B"/>
    <w:rsid w:val="00BC2025"/>
    <w:rsid w:val="00BC2035"/>
    <w:rsid w:val="00BC23CD"/>
    <w:rsid w:val="00BC279D"/>
    <w:rsid w:val="00BC39B1"/>
    <w:rsid w:val="00BC408E"/>
    <w:rsid w:val="00BC4B47"/>
    <w:rsid w:val="00BC4BB7"/>
    <w:rsid w:val="00BC4FED"/>
    <w:rsid w:val="00BC5BA3"/>
    <w:rsid w:val="00BC5DEE"/>
    <w:rsid w:val="00BC5F5A"/>
    <w:rsid w:val="00BC6DB5"/>
    <w:rsid w:val="00BC6F3C"/>
    <w:rsid w:val="00BC7058"/>
    <w:rsid w:val="00BC718D"/>
    <w:rsid w:val="00BC729D"/>
    <w:rsid w:val="00BC73F8"/>
    <w:rsid w:val="00BC7700"/>
    <w:rsid w:val="00BC79C4"/>
    <w:rsid w:val="00BD0510"/>
    <w:rsid w:val="00BD0842"/>
    <w:rsid w:val="00BD0BB8"/>
    <w:rsid w:val="00BD0E68"/>
    <w:rsid w:val="00BD1D3B"/>
    <w:rsid w:val="00BD210F"/>
    <w:rsid w:val="00BD263C"/>
    <w:rsid w:val="00BD26EE"/>
    <w:rsid w:val="00BD3707"/>
    <w:rsid w:val="00BD3C05"/>
    <w:rsid w:val="00BD4F25"/>
    <w:rsid w:val="00BD53AE"/>
    <w:rsid w:val="00BD55E5"/>
    <w:rsid w:val="00BD62B3"/>
    <w:rsid w:val="00BD65A9"/>
    <w:rsid w:val="00BD6C71"/>
    <w:rsid w:val="00BD6D88"/>
    <w:rsid w:val="00BD7298"/>
    <w:rsid w:val="00BD78B0"/>
    <w:rsid w:val="00BD7BCC"/>
    <w:rsid w:val="00BE05AB"/>
    <w:rsid w:val="00BE1237"/>
    <w:rsid w:val="00BE1349"/>
    <w:rsid w:val="00BE1505"/>
    <w:rsid w:val="00BE1668"/>
    <w:rsid w:val="00BE1BB1"/>
    <w:rsid w:val="00BE3189"/>
    <w:rsid w:val="00BE3532"/>
    <w:rsid w:val="00BE3554"/>
    <w:rsid w:val="00BE35D2"/>
    <w:rsid w:val="00BE3C0C"/>
    <w:rsid w:val="00BE4300"/>
    <w:rsid w:val="00BE44B3"/>
    <w:rsid w:val="00BE4E1A"/>
    <w:rsid w:val="00BE535A"/>
    <w:rsid w:val="00BE5969"/>
    <w:rsid w:val="00BE6624"/>
    <w:rsid w:val="00BE7115"/>
    <w:rsid w:val="00BE72AB"/>
    <w:rsid w:val="00BE739C"/>
    <w:rsid w:val="00BE7410"/>
    <w:rsid w:val="00BE766E"/>
    <w:rsid w:val="00BE7822"/>
    <w:rsid w:val="00BE784B"/>
    <w:rsid w:val="00BF15FF"/>
    <w:rsid w:val="00BF21F0"/>
    <w:rsid w:val="00BF25FB"/>
    <w:rsid w:val="00BF2763"/>
    <w:rsid w:val="00BF36DC"/>
    <w:rsid w:val="00BF3785"/>
    <w:rsid w:val="00BF3DA1"/>
    <w:rsid w:val="00BF4488"/>
    <w:rsid w:val="00BF4538"/>
    <w:rsid w:val="00BF49A5"/>
    <w:rsid w:val="00BF5632"/>
    <w:rsid w:val="00BF617B"/>
    <w:rsid w:val="00BF61A6"/>
    <w:rsid w:val="00BF68C0"/>
    <w:rsid w:val="00BF70E3"/>
    <w:rsid w:val="00BF7847"/>
    <w:rsid w:val="00BF79AD"/>
    <w:rsid w:val="00BF7A59"/>
    <w:rsid w:val="00BF7F2E"/>
    <w:rsid w:val="00C0044E"/>
    <w:rsid w:val="00C006C1"/>
    <w:rsid w:val="00C00985"/>
    <w:rsid w:val="00C0138D"/>
    <w:rsid w:val="00C0146F"/>
    <w:rsid w:val="00C015FA"/>
    <w:rsid w:val="00C01B55"/>
    <w:rsid w:val="00C01B96"/>
    <w:rsid w:val="00C0203D"/>
    <w:rsid w:val="00C02BC2"/>
    <w:rsid w:val="00C033E5"/>
    <w:rsid w:val="00C0359F"/>
    <w:rsid w:val="00C03628"/>
    <w:rsid w:val="00C03AC4"/>
    <w:rsid w:val="00C03D61"/>
    <w:rsid w:val="00C052F4"/>
    <w:rsid w:val="00C06457"/>
    <w:rsid w:val="00C06C82"/>
    <w:rsid w:val="00C0703D"/>
    <w:rsid w:val="00C07CCD"/>
    <w:rsid w:val="00C10793"/>
    <w:rsid w:val="00C10F2E"/>
    <w:rsid w:val="00C114F7"/>
    <w:rsid w:val="00C12079"/>
    <w:rsid w:val="00C129ED"/>
    <w:rsid w:val="00C13622"/>
    <w:rsid w:val="00C13B95"/>
    <w:rsid w:val="00C1440B"/>
    <w:rsid w:val="00C14B76"/>
    <w:rsid w:val="00C15526"/>
    <w:rsid w:val="00C15B07"/>
    <w:rsid w:val="00C15BB8"/>
    <w:rsid w:val="00C15FBD"/>
    <w:rsid w:val="00C16256"/>
    <w:rsid w:val="00C16349"/>
    <w:rsid w:val="00C16532"/>
    <w:rsid w:val="00C166C4"/>
    <w:rsid w:val="00C16B57"/>
    <w:rsid w:val="00C17044"/>
    <w:rsid w:val="00C17DB0"/>
    <w:rsid w:val="00C203FA"/>
    <w:rsid w:val="00C204E3"/>
    <w:rsid w:val="00C2109F"/>
    <w:rsid w:val="00C220DF"/>
    <w:rsid w:val="00C2226C"/>
    <w:rsid w:val="00C2296A"/>
    <w:rsid w:val="00C232FE"/>
    <w:rsid w:val="00C2362A"/>
    <w:rsid w:val="00C23AE7"/>
    <w:rsid w:val="00C24B76"/>
    <w:rsid w:val="00C2523B"/>
    <w:rsid w:val="00C25BEE"/>
    <w:rsid w:val="00C26458"/>
    <w:rsid w:val="00C26557"/>
    <w:rsid w:val="00C265CE"/>
    <w:rsid w:val="00C26A3C"/>
    <w:rsid w:val="00C26B33"/>
    <w:rsid w:val="00C26C19"/>
    <w:rsid w:val="00C27392"/>
    <w:rsid w:val="00C27E7D"/>
    <w:rsid w:val="00C30619"/>
    <w:rsid w:val="00C30737"/>
    <w:rsid w:val="00C30CB5"/>
    <w:rsid w:val="00C30CEA"/>
    <w:rsid w:val="00C31411"/>
    <w:rsid w:val="00C31994"/>
    <w:rsid w:val="00C31C3B"/>
    <w:rsid w:val="00C32622"/>
    <w:rsid w:val="00C33026"/>
    <w:rsid w:val="00C33065"/>
    <w:rsid w:val="00C3450A"/>
    <w:rsid w:val="00C346E1"/>
    <w:rsid w:val="00C35B84"/>
    <w:rsid w:val="00C35BFA"/>
    <w:rsid w:val="00C366DE"/>
    <w:rsid w:val="00C3729F"/>
    <w:rsid w:val="00C37507"/>
    <w:rsid w:val="00C3755B"/>
    <w:rsid w:val="00C3798F"/>
    <w:rsid w:val="00C37DB0"/>
    <w:rsid w:val="00C4003E"/>
    <w:rsid w:val="00C41C41"/>
    <w:rsid w:val="00C41F61"/>
    <w:rsid w:val="00C4279D"/>
    <w:rsid w:val="00C428C4"/>
    <w:rsid w:val="00C42E64"/>
    <w:rsid w:val="00C43FA6"/>
    <w:rsid w:val="00C44023"/>
    <w:rsid w:val="00C4440A"/>
    <w:rsid w:val="00C449D7"/>
    <w:rsid w:val="00C450AC"/>
    <w:rsid w:val="00C458AF"/>
    <w:rsid w:val="00C46139"/>
    <w:rsid w:val="00C46A62"/>
    <w:rsid w:val="00C46F85"/>
    <w:rsid w:val="00C50E84"/>
    <w:rsid w:val="00C511F0"/>
    <w:rsid w:val="00C51731"/>
    <w:rsid w:val="00C51A2E"/>
    <w:rsid w:val="00C51DD1"/>
    <w:rsid w:val="00C5237A"/>
    <w:rsid w:val="00C52F57"/>
    <w:rsid w:val="00C53501"/>
    <w:rsid w:val="00C5353C"/>
    <w:rsid w:val="00C5477B"/>
    <w:rsid w:val="00C54981"/>
    <w:rsid w:val="00C54AF3"/>
    <w:rsid w:val="00C54CF0"/>
    <w:rsid w:val="00C554C8"/>
    <w:rsid w:val="00C55BF8"/>
    <w:rsid w:val="00C55F48"/>
    <w:rsid w:val="00C5606E"/>
    <w:rsid w:val="00C56128"/>
    <w:rsid w:val="00C56A5E"/>
    <w:rsid w:val="00C57409"/>
    <w:rsid w:val="00C61834"/>
    <w:rsid w:val="00C625F2"/>
    <w:rsid w:val="00C6269B"/>
    <w:rsid w:val="00C62DCA"/>
    <w:rsid w:val="00C62E0D"/>
    <w:rsid w:val="00C6305B"/>
    <w:rsid w:val="00C6311A"/>
    <w:rsid w:val="00C632B2"/>
    <w:rsid w:val="00C63AD5"/>
    <w:rsid w:val="00C63D89"/>
    <w:rsid w:val="00C6400E"/>
    <w:rsid w:val="00C644C8"/>
    <w:rsid w:val="00C64ADC"/>
    <w:rsid w:val="00C64E1F"/>
    <w:rsid w:val="00C65000"/>
    <w:rsid w:val="00C65755"/>
    <w:rsid w:val="00C65B31"/>
    <w:rsid w:val="00C65F0A"/>
    <w:rsid w:val="00C6626D"/>
    <w:rsid w:val="00C6627B"/>
    <w:rsid w:val="00C6631F"/>
    <w:rsid w:val="00C665E0"/>
    <w:rsid w:val="00C66DEA"/>
    <w:rsid w:val="00C66ED7"/>
    <w:rsid w:val="00C67320"/>
    <w:rsid w:val="00C67F92"/>
    <w:rsid w:val="00C7059E"/>
    <w:rsid w:val="00C710BA"/>
    <w:rsid w:val="00C71D2E"/>
    <w:rsid w:val="00C71D8E"/>
    <w:rsid w:val="00C72094"/>
    <w:rsid w:val="00C72BCD"/>
    <w:rsid w:val="00C7359A"/>
    <w:rsid w:val="00C73C38"/>
    <w:rsid w:val="00C73C3E"/>
    <w:rsid w:val="00C73EAA"/>
    <w:rsid w:val="00C743CB"/>
    <w:rsid w:val="00C74563"/>
    <w:rsid w:val="00C7464B"/>
    <w:rsid w:val="00C74945"/>
    <w:rsid w:val="00C74F02"/>
    <w:rsid w:val="00C751EA"/>
    <w:rsid w:val="00C752DD"/>
    <w:rsid w:val="00C75339"/>
    <w:rsid w:val="00C757F2"/>
    <w:rsid w:val="00C76939"/>
    <w:rsid w:val="00C81E36"/>
    <w:rsid w:val="00C82850"/>
    <w:rsid w:val="00C82A07"/>
    <w:rsid w:val="00C841BD"/>
    <w:rsid w:val="00C843BD"/>
    <w:rsid w:val="00C8501B"/>
    <w:rsid w:val="00C853E8"/>
    <w:rsid w:val="00C86107"/>
    <w:rsid w:val="00C86E82"/>
    <w:rsid w:val="00C910F8"/>
    <w:rsid w:val="00C91165"/>
    <w:rsid w:val="00C91B3A"/>
    <w:rsid w:val="00C92BAC"/>
    <w:rsid w:val="00C92F55"/>
    <w:rsid w:val="00C93E0C"/>
    <w:rsid w:val="00C940F8"/>
    <w:rsid w:val="00C947FE"/>
    <w:rsid w:val="00C94B11"/>
    <w:rsid w:val="00C95B33"/>
    <w:rsid w:val="00C96D3D"/>
    <w:rsid w:val="00C97026"/>
    <w:rsid w:val="00C971FD"/>
    <w:rsid w:val="00C97203"/>
    <w:rsid w:val="00C9788B"/>
    <w:rsid w:val="00C97F97"/>
    <w:rsid w:val="00CA1220"/>
    <w:rsid w:val="00CA2337"/>
    <w:rsid w:val="00CA2632"/>
    <w:rsid w:val="00CA2820"/>
    <w:rsid w:val="00CA3616"/>
    <w:rsid w:val="00CA385F"/>
    <w:rsid w:val="00CA3860"/>
    <w:rsid w:val="00CA3B96"/>
    <w:rsid w:val="00CA3FAF"/>
    <w:rsid w:val="00CA53B9"/>
    <w:rsid w:val="00CA5894"/>
    <w:rsid w:val="00CA6527"/>
    <w:rsid w:val="00CA659D"/>
    <w:rsid w:val="00CA65B6"/>
    <w:rsid w:val="00CA71CA"/>
    <w:rsid w:val="00CA7720"/>
    <w:rsid w:val="00CA7B38"/>
    <w:rsid w:val="00CB0006"/>
    <w:rsid w:val="00CB056F"/>
    <w:rsid w:val="00CB0A08"/>
    <w:rsid w:val="00CB0C5F"/>
    <w:rsid w:val="00CB11D5"/>
    <w:rsid w:val="00CB1631"/>
    <w:rsid w:val="00CB18DB"/>
    <w:rsid w:val="00CB276D"/>
    <w:rsid w:val="00CB3370"/>
    <w:rsid w:val="00CB36A1"/>
    <w:rsid w:val="00CB3B67"/>
    <w:rsid w:val="00CB3DF1"/>
    <w:rsid w:val="00CB487C"/>
    <w:rsid w:val="00CB49EA"/>
    <w:rsid w:val="00CB55BA"/>
    <w:rsid w:val="00CB5834"/>
    <w:rsid w:val="00CB5871"/>
    <w:rsid w:val="00CB5A26"/>
    <w:rsid w:val="00CB5C5A"/>
    <w:rsid w:val="00CB5ECC"/>
    <w:rsid w:val="00CB63C1"/>
    <w:rsid w:val="00CB664E"/>
    <w:rsid w:val="00CB7043"/>
    <w:rsid w:val="00CB712C"/>
    <w:rsid w:val="00CC132A"/>
    <w:rsid w:val="00CC1355"/>
    <w:rsid w:val="00CC1E6E"/>
    <w:rsid w:val="00CC36BB"/>
    <w:rsid w:val="00CC407B"/>
    <w:rsid w:val="00CC40C6"/>
    <w:rsid w:val="00CC484A"/>
    <w:rsid w:val="00CC4BD3"/>
    <w:rsid w:val="00CC523F"/>
    <w:rsid w:val="00CC53AD"/>
    <w:rsid w:val="00CC5E5B"/>
    <w:rsid w:val="00CC5F8D"/>
    <w:rsid w:val="00CC6079"/>
    <w:rsid w:val="00CC64C3"/>
    <w:rsid w:val="00CC79D6"/>
    <w:rsid w:val="00CC7F53"/>
    <w:rsid w:val="00CD06FB"/>
    <w:rsid w:val="00CD07D7"/>
    <w:rsid w:val="00CD08BD"/>
    <w:rsid w:val="00CD13E2"/>
    <w:rsid w:val="00CD1C74"/>
    <w:rsid w:val="00CD3464"/>
    <w:rsid w:val="00CD3DCE"/>
    <w:rsid w:val="00CD3ECA"/>
    <w:rsid w:val="00CD3F5F"/>
    <w:rsid w:val="00CD40E2"/>
    <w:rsid w:val="00CD430C"/>
    <w:rsid w:val="00CD4C78"/>
    <w:rsid w:val="00CD53E9"/>
    <w:rsid w:val="00CD593B"/>
    <w:rsid w:val="00CD61D8"/>
    <w:rsid w:val="00CD7912"/>
    <w:rsid w:val="00CD7CFE"/>
    <w:rsid w:val="00CD7F0C"/>
    <w:rsid w:val="00CD7F1C"/>
    <w:rsid w:val="00CE0083"/>
    <w:rsid w:val="00CE042C"/>
    <w:rsid w:val="00CE0E72"/>
    <w:rsid w:val="00CE196D"/>
    <w:rsid w:val="00CE1EA3"/>
    <w:rsid w:val="00CE2B05"/>
    <w:rsid w:val="00CE2E04"/>
    <w:rsid w:val="00CE383E"/>
    <w:rsid w:val="00CE3DB3"/>
    <w:rsid w:val="00CE437C"/>
    <w:rsid w:val="00CE474B"/>
    <w:rsid w:val="00CE47E8"/>
    <w:rsid w:val="00CE4842"/>
    <w:rsid w:val="00CE5116"/>
    <w:rsid w:val="00CE511B"/>
    <w:rsid w:val="00CE511D"/>
    <w:rsid w:val="00CE59A5"/>
    <w:rsid w:val="00CE78DA"/>
    <w:rsid w:val="00CF0718"/>
    <w:rsid w:val="00CF103C"/>
    <w:rsid w:val="00CF12A5"/>
    <w:rsid w:val="00CF15E9"/>
    <w:rsid w:val="00CF191B"/>
    <w:rsid w:val="00CF2348"/>
    <w:rsid w:val="00CF25D6"/>
    <w:rsid w:val="00CF3409"/>
    <w:rsid w:val="00CF343B"/>
    <w:rsid w:val="00CF3A33"/>
    <w:rsid w:val="00CF40ED"/>
    <w:rsid w:val="00CF48B9"/>
    <w:rsid w:val="00CF4A66"/>
    <w:rsid w:val="00CF4A68"/>
    <w:rsid w:val="00CF4AAB"/>
    <w:rsid w:val="00CF6135"/>
    <w:rsid w:val="00CF693E"/>
    <w:rsid w:val="00CF7BA9"/>
    <w:rsid w:val="00CF7DAD"/>
    <w:rsid w:val="00D00604"/>
    <w:rsid w:val="00D00652"/>
    <w:rsid w:val="00D00698"/>
    <w:rsid w:val="00D00A44"/>
    <w:rsid w:val="00D00F3E"/>
    <w:rsid w:val="00D019A7"/>
    <w:rsid w:val="00D02527"/>
    <w:rsid w:val="00D02BA7"/>
    <w:rsid w:val="00D02D86"/>
    <w:rsid w:val="00D02DFC"/>
    <w:rsid w:val="00D0360F"/>
    <w:rsid w:val="00D03725"/>
    <w:rsid w:val="00D038FC"/>
    <w:rsid w:val="00D042A6"/>
    <w:rsid w:val="00D05534"/>
    <w:rsid w:val="00D0692C"/>
    <w:rsid w:val="00D06C26"/>
    <w:rsid w:val="00D06E3B"/>
    <w:rsid w:val="00D07B8E"/>
    <w:rsid w:val="00D07F0E"/>
    <w:rsid w:val="00D10404"/>
    <w:rsid w:val="00D10C35"/>
    <w:rsid w:val="00D10D2A"/>
    <w:rsid w:val="00D10DB4"/>
    <w:rsid w:val="00D10F35"/>
    <w:rsid w:val="00D11550"/>
    <w:rsid w:val="00D116BF"/>
    <w:rsid w:val="00D12149"/>
    <w:rsid w:val="00D1216B"/>
    <w:rsid w:val="00D12AC4"/>
    <w:rsid w:val="00D13140"/>
    <w:rsid w:val="00D13862"/>
    <w:rsid w:val="00D140CF"/>
    <w:rsid w:val="00D1487E"/>
    <w:rsid w:val="00D1546D"/>
    <w:rsid w:val="00D15F45"/>
    <w:rsid w:val="00D16153"/>
    <w:rsid w:val="00D1669F"/>
    <w:rsid w:val="00D16E45"/>
    <w:rsid w:val="00D17031"/>
    <w:rsid w:val="00D20230"/>
    <w:rsid w:val="00D20608"/>
    <w:rsid w:val="00D20ABF"/>
    <w:rsid w:val="00D21288"/>
    <w:rsid w:val="00D21509"/>
    <w:rsid w:val="00D22399"/>
    <w:rsid w:val="00D22C29"/>
    <w:rsid w:val="00D23390"/>
    <w:rsid w:val="00D23ABB"/>
    <w:rsid w:val="00D25D86"/>
    <w:rsid w:val="00D25F0E"/>
    <w:rsid w:val="00D26DD9"/>
    <w:rsid w:val="00D271F7"/>
    <w:rsid w:val="00D272AE"/>
    <w:rsid w:val="00D27865"/>
    <w:rsid w:val="00D30F19"/>
    <w:rsid w:val="00D31300"/>
    <w:rsid w:val="00D31737"/>
    <w:rsid w:val="00D31E7B"/>
    <w:rsid w:val="00D320DE"/>
    <w:rsid w:val="00D3356C"/>
    <w:rsid w:val="00D343C8"/>
    <w:rsid w:val="00D34752"/>
    <w:rsid w:val="00D3489C"/>
    <w:rsid w:val="00D348B3"/>
    <w:rsid w:val="00D34C59"/>
    <w:rsid w:val="00D34F21"/>
    <w:rsid w:val="00D357E6"/>
    <w:rsid w:val="00D35AD3"/>
    <w:rsid w:val="00D36017"/>
    <w:rsid w:val="00D37F72"/>
    <w:rsid w:val="00D40565"/>
    <w:rsid w:val="00D40BD6"/>
    <w:rsid w:val="00D41793"/>
    <w:rsid w:val="00D41FD3"/>
    <w:rsid w:val="00D42137"/>
    <w:rsid w:val="00D42261"/>
    <w:rsid w:val="00D42F86"/>
    <w:rsid w:val="00D44008"/>
    <w:rsid w:val="00D442C7"/>
    <w:rsid w:val="00D449D7"/>
    <w:rsid w:val="00D44E1E"/>
    <w:rsid w:val="00D4754F"/>
    <w:rsid w:val="00D5085B"/>
    <w:rsid w:val="00D50BA1"/>
    <w:rsid w:val="00D51E29"/>
    <w:rsid w:val="00D522F0"/>
    <w:rsid w:val="00D52CB8"/>
    <w:rsid w:val="00D532E0"/>
    <w:rsid w:val="00D53AD3"/>
    <w:rsid w:val="00D53CE6"/>
    <w:rsid w:val="00D540BC"/>
    <w:rsid w:val="00D54623"/>
    <w:rsid w:val="00D5476C"/>
    <w:rsid w:val="00D55572"/>
    <w:rsid w:val="00D55BF7"/>
    <w:rsid w:val="00D55C2A"/>
    <w:rsid w:val="00D56213"/>
    <w:rsid w:val="00D574E6"/>
    <w:rsid w:val="00D600CC"/>
    <w:rsid w:val="00D6073F"/>
    <w:rsid w:val="00D607B6"/>
    <w:rsid w:val="00D6085D"/>
    <w:rsid w:val="00D60D4D"/>
    <w:rsid w:val="00D61064"/>
    <w:rsid w:val="00D61135"/>
    <w:rsid w:val="00D614A4"/>
    <w:rsid w:val="00D6158E"/>
    <w:rsid w:val="00D61798"/>
    <w:rsid w:val="00D63271"/>
    <w:rsid w:val="00D632F2"/>
    <w:rsid w:val="00D639FB"/>
    <w:rsid w:val="00D6519C"/>
    <w:rsid w:val="00D651FB"/>
    <w:rsid w:val="00D6577D"/>
    <w:rsid w:val="00D66272"/>
    <w:rsid w:val="00D66552"/>
    <w:rsid w:val="00D677E2"/>
    <w:rsid w:val="00D67A85"/>
    <w:rsid w:val="00D67D1B"/>
    <w:rsid w:val="00D67EA7"/>
    <w:rsid w:val="00D701CA"/>
    <w:rsid w:val="00D70809"/>
    <w:rsid w:val="00D71446"/>
    <w:rsid w:val="00D71AF8"/>
    <w:rsid w:val="00D72098"/>
    <w:rsid w:val="00D72257"/>
    <w:rsid w:val="00D72724"/>
    <w:rsid w:val="00D72C1D"/>
    <w:rsid w:val="00D73218"/>
    <w:rsid w:val="00D73B5E"/>
    <w:rsid w:val="00D73F07"/>
    <w:rsid w:val="00D74653"/>
    <w:rsid w:val="00D752D7"/>
    <w:rsid w:val="00D7542C"/>
    <w:rsid w:val="00D75FB8"/>
    <w:rsid w:val="00D76101"/>
    <w:rsid w:val="00D76288"/>
    <w:rsid w:val="00D7632E"/>
    <w:rsid w:val="00D772EC"/>
    <w:rsid w:val="00D77662"/>
    <w:rsid w:val="00D77FD1"/>
    <w:rsid w:val="00D80B96"/>
    <w:rsid w:val="00D815E4"/>
    <w:rsid w:val="00D81718"/>
    <w:rsid w:val="00D821E2"/>
    <w:rsid w:val="00D82640"/>
    <w:rsid w:val="00D8315C"/>
    <w:rsid w:val="00D83FD6"/>
    <w:rsid w:val="00D84E89"/>
    <w:rsid w:val="00D8524F"/>
    <w:rsid w:val="00D8581A"/>
    <w:rsid w:val="00D85E7F"/>
    <w:rsid w:val="00D8768C"/>
    <w:rsid w:val="00D87DCA"/>
    <w:rsid w:val="00D87E0A"/>
    <w:rsid w:val="00D905EB"/>
    <w:rsid w:val="00D91428"/>
    <w:rsid w:val="00D915D3"/>
    <w:rsid w:val="00D922AB"/>
    <w:rsid w:val="00D922CC"/>
    <w:rsid w:val="00D9251E"/>
    <w:rsid w:val="00D925BE"/>
    <w:rsid w:val="00D930F0"/>
    <w:rsid w:val="00D93457"/>
    <w:rsid w:val="00D9384D"/>
    <w:rsid w:val="00D94754"/>
    <w:rsid w:val="00D947CB"/>
    <w:rsid w:val="00D94879"/>
    <w:rsid w:val="00D94B94"/>
    <w:rsid w:val="00D95438"/>
    <w:rsid w:val="00D95788"/>
    <w:rsid w:val="00D95952"/>
    <w:rsid w:val="00D95F31"/>
    <w:rsid w:val="00D9625F"/>
    <w:rsid w:val="00DA010A"/>
    <w:rsid w:val="00DA03D5"/>
    <w:rsid w:val="00DA0767"/>
    <w:rsid w:val="00DA0C8E"/>
    <w:rsid w:val="00DA0CEA"/>
    <w:rsid w:val="00DA0FDF"/>
    <w:rsid w:val="00DA1965"/>
    <w:rsid w:val="00DA1DBE"/>
    <w:rsid w:val="00DA1EA2"/>
    <w:rsid w:val="00DA20F8"/>
    <w:rsid w:val="00DA280F"/>
    <w:rsid w:val="00DA2DB2"/>
    <w:rsid w:val="00DA3942"/>
    <w:rsid w:val="00DA40A1"/>
    <w:rsid w:val="00DA4B64"/>
    <w:rsid w:val="00DA4B80"/>
    <w:rsid w:val="00DA4CC5"/>
    <w:rsid w:val="00DA5007"/>
    <w:rsid w:val="00DA50CB"/>
    <w:rsid w:val="00DA5162"/>
    <w:rsid w:val="00DA54D5"/>
    <w:rsid w:val="00DA54E0"/>
    <w:rsid w:val="00DA5856"/>
    <w:rsid w:val="00DA7307"/>
    <w:rsid w:val="00DA73CE"/>
    <w:rsid w:val="00DA7764"/>
    <w:rsid w:val="00DA79AF"/>
    <w:rsid w:val="00DA7F35"/>
    <w:rsid w:val="00DB018E"/>
    <w:rsid w:val="00DB04A4"/>
    <w:rsid w:val="00DB0572"/>
    <w:rsid w:val="00DB0A5D"/>
    <w:rsid w:val="00DB0FA4"/>
    <w:rsid w:val="00DB1951"/>
    <w:rsid w:val="00DB1C53"/>
    <w:rsid w:val="00DB1D68"/>
    <w:rsid w:val="00DB1F3D"/>
    <w:rsid w:val="00DB2CBC"/>
    <w:rsid w:val="00DB2D9E"/>
    <w:rsid w:val="00DB4423"/>
    <w:rsid w:val="00DB467C"/>
    <w:rsid w:val="00DB4783"/>
    <w:rsid w:val="00DB53F8"/>
    <w:rsid w:val="00DB546B"/>
    <w:rsid w:val="00DB5E06"/>
    <w:rsid w:val="00DB660D"/>
    <w:rsid w:val="00DB6C77"/>
    <w:rsid w:val="00DB76DE"/>
    <w:rsid w:val="00DB7AD5"/>
    <w:rsid w:val="00DC0178"/>
    <w:rsid w:val="00DC04AF"/>
    <w:rsid w:val="00DC0550"/>
    <w:rsid w:val="00DC0666"/>
    <w:rsid w:val="00DC110C"/>
    <w:rsid w:val="00DC1504"/>
    <w:rsid w:val="00DC3571"/>
    <w:rsid w:val="00DC3F0E"/>
    <w:rsid w:val="00DC4B1D"/>
    <w:rsid w:val="00DC52BF"/>
    <w:rsid w:val="00DC5612"/>
    <w:rsid w:val="00DC6071"/>
    <w:rsid w:val="00DC670D"/>
    <w:rsid w:val="00DC68D5"/>
    <w:rsid w:val="00DC6E76"/>
    <w:rsid w:val="00DC7475"/>
    <w:rsid w:val="00DC79D1"/>
    <w:rsid w:val="00DC7F09"/>
    <w:rsid w:val="00DD042B"/>
    <w:rsid w:val="00DD043B"/>
    <w:rsid w:val="00DD154A"/>
    <w:rsid w:val="00DD1C78"/>
    <w:rsid w:val="00DD1F1F"/>
    <w:rsid w:val="00DD2469"/>
    <w:rsid w:val="00DD3B9D"/>
    <w:rsid w:val="00DD3E2F"/>
    <w:rsid w:val="00DD4219"/>
    <w:rsid w:val="00DD4712"/>
    <w:rsid w:val="00DD544B"/>
    <w:rsid w:val="00DD5BC8"/>
    <w:rsid w:val="00DD5E28"/>
    <w:rsid w:val="00DD61A7"/>
    <w:rsid w:val="00DD66A8"/>
    <w:rsid w:val="00DD69E6"/>
    <w:rsid w:val="00DD6BEB"/>
    <w:rsid w:val="00DD7921"/>
    <w:rsid w:val="00DD7F41"/>
    <w:rsid w:val="00DE059C"/>
    <w:rsid w:val="00DE133D"/>
    <w:rsid w:val="00DE182D"/>
    <w:rsid w:val="00DE2542"/>
    <w:rsid w:val="00DE26E4"/>
    <w:rsid w:val="00DE2AFD"/>
    <w:rsid w:val="00DE33BA"/>
    <w:rsid w:val="00DE38CB"/>
    <w:rsid w:val="00DE416B"/>
    <w:rsid w:val="00DE4562"/>
    <w:rsid w:val="00DE4821"/>
    <w:rsid w:val="00DE4C89"/>
    <w:rsid w:val="00DE5636"/>
    <w:rsid w:val="00DE6046"/>
    <w:rsid w:val="00DE6BAF"/>
    <w:rsid w:val="00DE6C09"/>
    <w:rsid w:val="00DF036B"/>
    <w:rsid w:val="00DF0ACD"/>
    <w:rsid w:val="00DF0C0D"/>
    <w:rsid w:val="00DF0F97"/>
    <w:rsid w:val="00DF1732"/>
    <w:rsid w:val="00DF1AF8"/>
    <w:rsid w:val="00DF2364"/>
    <w:rsid w:val="00DF2882"/>
    <w:rsid w:val="00DF2B2F"/>
    <w:rsid w:val="00DF2FDA"/>
    <w:rsid w:val="00DF3113"/>
    <w:rsid w:val="00DF32AF"/>
    <w:rsid w:val="00DF3C20"/>
    <w:rsid w:val="00DF3DF3"/>
    <w:rsid w:val="00DF413A"/>
    <w:rsid w:val="00DF4EAC"/>
    <w:rsid w:val="00DF571F"/>
    <w:rsid w:val="00DF57FC"/>
    <w:rsid w:val="00DF5803"/>
    <w:rsid w:val="00DF67A6"/>
    <w:rsid w:val="00DF6D34"/>
    <w:rsid w:val="00DF7C6E"/>
    <w:rsid w:val="00E00123"/>
    <w:rsid w:val="00E00BB2"/>
    <w:rsid w:val="00E00F52"/>
    <w:rsid w:val="00E01E92"/>
    <w:rsid w:val="00E04176"/>
    <w:rsid w:val="00E04392"/>
    <w:rsid w:val="00E0447A"/>
    <w:rsid w:val="00E045E6"/>
    <w:rsid w:val="00E04644"/>
    <w:rsid w:val="00E04C8D"/>
    <w:rsid w:val="00E057D5"/>
    <w:rsid w:val="00E05A2D"/>
    <w:rsid w:val="00E06140"/>
    <w:rsid w:val="00E069BA"/>
    <w:rsid w:val="00E06CBB"/>
    <w:rsid w:val="00E06D44"/>
    <w:rsid w:val="00E074FC"/>
    <w:rsid w:val="00E077E1"/>
    <w:rsid w:val="00E07EBC"/>
    <w:rsid w:val="00E104A3"/>
    <w:rsid w:val="00E11389"/>
    <w:rsid w:val="00E114FE"/>
    <w:rsid w:val="00E120D3"/>
    <w:rsid w:val="00E125B3"/>
    <w:rsid w:val="00E12861"/>
    <w:rsid w:val="00E12A0B"/>
    <w:rsid w:val="00E12DEB"/>
    <w:rsid w:val="00E136C9"/>
    <w:rsid w:val="00E13BFC"/>
    <w:rsid w:val="00E13EE7"/>
    <w:rsid w:val="00E13F9C"/>
    <w:rsid w:val="00E140EB"/>
    <w:rsid w:val="00E1554D"/>
    <w:rsid w:val="00E161C8"/>
    <w:rsid w:val="00E16643"/>
    <w:rsid w:val="00E16CCD"/>
    <w:rsid w:val="00E170C6"/>
    <w:rsid w:val="00E17A21"/>
    <w:rsid w:val="00E17C6C"/>
    <w:rsid w:val="00E2084E"/>
    <w:rsid w:val="00E20C7E"/>
    <w:rsid w:val="00E20EDE"/>
    <w:rsid w:val="00E21722"/>
    <w:rsid w:val="00E21E73"/>
    <w:rsid w:val="00E22249"/>
    <w:rsid w:val="00E225AE"/>
    <w:rsid w:val="00E22AF1"/>
    <w:rsid w:val="00E22B80"/>
    <w:rsid w:val="00E24B75"/>
    <w:rsid w:val="00E25C64"/>
    <w:rsid w:val="00E2669A"/>
    <w:rsid w:val="00E2674C"/>
    <w:rsid w:val="00E27690"/>
    <w:rsid w:val="00E30097"/>
    <w:rsid w:val="00E306CA"/>
    <w:rsid w:val="00E31EAC"/>
    <w:rsid w:val="00E3322A"/>
    <w:rsid w:val="00E33411"/>
    <w:rsid w:val="00E3345E"/>
    <w:rsid w:val="00E334AB"/>
    <w:rsid w:val="00E33C7A"/>
    <w:rsid w:val="00E34E3B"/>
    <w:rsid w:val="00E35434"/>
    <w:rsid w:val="00E35895"/>
    <w:rsid w:val="00E35AE9"/>
    <w:rsid w:val="00E36261"/>
    <w:rsid w:val="00E372D4"/>
    <w:rsid w:val="00E374B9"/>
    <w:rsid w:val="00E37C5B"/>
    <w:rsid w:val="00E37E5A"/>
    <w:rsid w:val="00E37F85"/>
    <w:rsid w:val="00E404FD"/>
    <w:rsid w:val="00E40D36"/>
    <w:rsid w:val="00E40D96"/>
    <w:rsid w:val="00E4133A"/>
    <w:rsid w:val="00E41387"/>
    <w:rsid w:val="00E415A9"/>
    <w:rsid w:val="00E42082"/>
    <w:rsid w:val="00E421AB"/>
    <w:rsid w:val="00E4230D"/>
    <w:rsid w:val="00E43650"/>
    <w:rsid w:val="00E436BC"/>
    <w:rsid w:val="00E4391B"/>
    <w:rsid w:val="00E442A3"/>
    <w:rsid w:val="00E44C00"/>
    <w:rsid w:val="00E44C54"/>
    <w:rsid w:val="00E450F9"/>
    <w:rsid w:val="00E46348"/>
    <w:rsid w:val="00E46B68"/>
    <w:rsid w:val="00E47852"/>
    <w:rsid w:val="00E47DF7"/>
    <w:rsid w:val="00E503F9"/>
    <w:rsid w:val="00E50CFE"/>
    <w:rsid w:val="00E51CD1"/>
    <w:rsid w:val="00E51D9E"/>
    <w:rsid w:val="00E52129"/>
    <w:rsid w:val="00E52937"/>
    <w:rsid w:val="00E52B4C"/>
    <w:rsid w:val="00E53D5D"/>
    <w:rsid w:val="00E54CF8"/>
    <w:rsid w:val="00E54D5F"/>
    <w:rsid w:val="00E54F7D"/>
    <w:rsid w:val="00E5598F"/>
    <w:rsid w:val="00E56A08"/>
    <w:rsid w:val="00E56C27"/>
    <w:rsid w:val="00E56EC0"/>
    <w:rsid w:val="00E57364"/>
    <w:rsid w:val="00E57629"/>
    <w:rsid w:val="00E60304"/>
    <w:rsid w:val="00E610C3"/>
    <w:rsid w:val="00E61294"/>
    <w:rsid w:val="00E612A2"/>
    <w:rsid w:val="00E62149"/>
    <w:rsid w:val="00E63A5B"/>
    <w:rsid w:val="00E63C53"/>
    <w:rsid w:val="00E63DA2"/>
    <w:rsid w:val="00E640A1"/>
    <w:rsid w:val="00E6528B"/>
    <w:rsid w:val="00E654FB"/>
    <w:rsid w:val="00E65797"/>
    <w:rsid w:val="00E660EA"/>
    <w:rsid w:val="00E66543"/>
    <w:rsid w:val="00E672A3"/>
    <w:rsid w:val="00E7031F"/>
    <w:rsid w:val="00E707A8"/>
    <w:rsid w:val="00E70E98"/>
    <w:rsid w:val="00E715D4"/>
    <w:rsid w:val="00E72079"/>
    <w:rsid w:val="00E72721"/>
    <w:rsid w:val="00E73EE7"/>
    <w:rsid w:val="00E7423B"/>
    <w:rsid w:val="00E74384"/>
    <w:rsid w:val="00E7494C"/>
    <w:rsid w:val="00E763ED"/>
    <w:rsid w:val="00E76A4C"/>
    <w:rsid w:val="00E7701C"/>
    <w:rsid w:val="00E774D0"/>
    <w:rsid w:val="00E77687"/>
    <w:rsid w:val="00E77B6D"/>
    <w:rsid w:val="00E77C57"/>
    <w:rsid w:val="00E80025"/>
    <w:rsid w:val="00E804C7"/>
    <w:rsid w:val="00E810BE"/>
    <w:rsid w:val="00E81B49"/>
    <w:rsid w:val="00E836C8"/>
    <w:rsid w:val="00E84000"/>
    <w:rsid w:val="00E848A2"/>
    <w:rsid w:val="00E851EC"/>
    <w:rsid w:val="00E8581A"/>
    <w:rsid w:val="00E85D01"/>
    <w:rsid w:val="00E86167"/>
    <w:rsid w:val="00E868C9"/>
    <w:rsid w:val="00E90563"/>
    <w:rsid w:val="00E90D74"/>
    <w:rsid w:val="00E912A9"/>
    <w:rsid w:val="00E91780"/>
    <w:rsid w:val="00E91D75"/>
    <w:rsid w:val="00E928F3"/>
    <w:rsid w:val="00E92A87"/>
    <w:rsid w:val="00E92E3A"/>
    <w:rsid w:val="00E935B0"/>
    <w:rsid w:val="00E93DB0"/>
    <w:rsid w:val="00E941F9"/>
    <w:rsid w:val="00E95C45"/>
    <w:rsid w:val="00E95D5B"/>
    <w:rsid w:val="00E96811"/>
    <w:rsid w:val="00E96A45"/>
    <w:rsid w:val="00E96E57"/>
    <w:rsid w:val="00E975DC"/>
    <w:rsid w:val="00E9780D"/>
    <w:rsid w:val="00E978E2"/>
    <w:rsid w:val="00EA0108"/>
    <w:rsid w:val="00EA0C9D"/>
    <w:rsid w:val="00EA23FE"/>
    <w:rsid w:val="00EA2630"/>
    <w:rsid w:val="00EA2AF0"/>
    <w:rsid w:val="00EA3A36"/>
    <w:rsid w:val="00EA3CC4"/>
    <w:rsid w:val="00EA4429"/>
    <w:rsid w:val="00EA507F"/>
    <w:rsid w:val="00EA5175"/>
    <w:rsid w:val="00EA55A7"/>
    <w:rsid w:val="00EA5A4D"/>
    <w:rsid w:val="00EA6009"/>
    <w:rsid w:val="00EA61F8"/>
    <w:rsid w:val="00EA6A49"/>
    <w:rsid w:val="00EA7A31"/>
    <w:rsid w:val="00EB0218"/>
    <w:rsid w:val="00EB06C1"/>
    <w:rsid w:val="00EB08B0"/>
    <w:rsid w:val="00EB1BEA"/>
    <w:rsid w:val="00EB1EFC"/>
    <w:rsid w:val="00EB2505"/>
    <w:rsid w:val="00EB29E4"/>
    <w:rsid w:val="00EB2B84"/>
    <w:rsid w:val="00EB3414"/>
    <w:rsid w:val="00EB35E6"/>
    <w:rsid w:val="00EB3D1F"/>
    <w:rsid w:val="00EB40B4"/>
    <w:rsid w:val="00EB457E"/>
    <w:rsid w:val="00EB4599"/>
    <w:rsid w:val="00EB505C"/>
    <w:rsid w:val="00EB5674"/>
    <w:rsid w:val="00EB60BB"/>
    <w:rsid w:val="00EB64F6"/>
    <w:rsid w:val="00EB674E"/>
    <w:rsid w:val="00EB696C"/>
    <w:rsid w:val="00EB756D"/>
    <w:rsid w:val="00EB77AF"/>
    <w:rsid w:val="00EB77DA"/>
    <w:rsid w:val="00EB7BA5"/>
    <w:rsid w:val="00EC069A"/>
    <w:rsid w:val="00EC10A3"/>
    <w:rsid w:val="00EC139B"/>
    <w:rsid w:val="00EC152C"/>
    <w:rsid w:val="00EC1770"/>
    <w:rsid w:val="00EC1813"/>
    <w:rsid w:val="00EC4109"/>
    <w:rsid w:val="00EC4AF7"/>
    <w:rsid w:val="00EC657D"/>
    <w:rsid w:val="00EC6D6A"/>
    <w:rsid w:val="00EC79D2"/>
    <w:rsid w:val="00EC7CFB"/>
    <w:rsid w:val="00ED0246"/>
    <w:rsid w:val="00ED03A8"/>
    <w:rsid w:val="00ED0C1B"/>
    <w:rsid w:val="00ED14BB"/>
    <w:rsid w:val="00ED18E7"/>
    <w:rsid w:val="00ED1A8C"/>
    <w:rsid w:val="00ED24B6"/>
    <w:rsid w:val="00ED2D8C"/>
    <w:rsid w:val="00ED324C"/>
    <w:rsid w:val="00ED4102"/>
    <w:rsid w:val="00ED42C9"/>
    <w:rsid w:val="00ED43A8"/>
    <w:rsid w:val="00ED4A32"/>
    <w:rsid w:val="00ED4D29"/>
    <w:rsid w:val="00ED4F60"/>
    <w:rsid w:val="00ED5DD3"/>
    <w:rsid w:val="00ED6DDF"/>
    <w:rsid w:val="00ED6F68"/>
    <w:rsid w:val="00ED742E"/>
    <w:rsid w:val="00ED781C"/>
    <w:rsid w:val="00ED7A51"/>
    <w:rsid w:val="00ED7FB7"/>
    <w:rsid w:val="00EE0923"/>
    <w:rsid w:val="00EE1410"/>
    <w:rsid w:val="00EE1BCF"/>
    <w:rsid w:val="00EE1DBC"/>
    <w:rsid w:val="00EE274D"/>
    <w:rsid w:val="00EE2CB4"/>
    <w:rsid w:val="00EE32DB"/>
    <w:rsid w:val="00EE39B2"/>
    <w:rsid w:val="00EE3D6E"/>
    <w:rsid w:val="00EE48A9"/>
    <w:rsid w:val="00EE4C8B"/>
    <w:rsid w:val="00EE5295"/>
    <w:rsid w:val="00EE548D"/>
    <w:rsid w:val="00EE5628"/>
    <w:rsid w:val="00EE5EAE"/>
    <w:rsid w:val="00EE5F9A"/>
    <w:rsid w:val="00EE5FE2"/>
    <w:rsid w:val="00EE60C2"/>
    <w:rsid w:val="00EE644D"/>
    <w:rsid w:val="00EE67D6"/>
    <w:rsid w:val="00EE75BD"/>
    <w:rsid w:val="00EE75E8"/>
    <w:rsid w:val="00EE7AFB"/>
    <w:rsid w:val="00EE7C6C"/>
    <w:rsid w:val="00EF05C8"/>
    <w:rsid w:val="00EF080E"/>
    <w:rsid w:val="00EF0FA2"/>
    <w:rsid w:val="00EF103C"/>
    <w:rsid w:val="00EF135C"/>
    <w:rsid w:val="00EF1E73"/>
    <w:rsid w:val="00EF33B2"/>
    <w:rsid w:val="00EF3F8B"/>
    <w:rsid w:val="00EF4469"/>
    <w:rsid w:val="00EF460C"/>
    <w:rsid w:val="00EF5107"/>
    <w:rsid w:val="00EF5ABF"/>
    <w:rsid w:val="00EF610D"/>
    <w:rsid w:val="00EF61FC"/>
    <w:rsid w:val="00EF6258"/>
    <w:rsid w:val="00EF6957"/>
    <w:rsid w:val="00EF783A"/>
    <w:rsid w:val="00F00201"/>
    <w:rsid w:val="00F00371"/>
    <w:rsid w:val="00F004D3"/>
    <w:rsid w:val="00F005AA"/>
    <w:rsid w:val="00F011F7"/>
    <w:rsid w:val="00F01203"/>
    <w:rsid w:val="00F019A4"/>
    <w:rsid w:val="00F01AF9"/>
    <w:rsid w:val="00F01E2E"/>
    <w:rsid w:val="00F022B9"/>
    <w:rsid w:val="00F02614"/>
    <w:rsid w:val="00F026EF"/>
    <w:rsid w:val="00F03142"/>
    <w:rsid w:val="00F031DE"/>
    <w:rsid w:val="00F04D63"/>
    <w:rsid w:val="00F05661"/>
    <w:rsid w:val="00F057B2"/>
    <w:rsid w:val="00F05AD9"/>
    <w:rsid w:val="00F06241"/>
    <w:rsid w:val="00F06B34"/>
    <w:rsid w:val="00F07680"/>
    <w:rsid w:val="00F077EA"/>
    <w:rsid w:val="00F07938"/>
    <w:rsid w:val="00F07EBF"/>
    <w:rsid w:val="00F1096C"/>
    <w:rsid w:val="00F11B1D"/>
    <w:rsid w:val="00F11E86"/>
    <w:rsid w:val="00F12287"/>
    <w:rsid w:val="00F135FA"/>
    <w:rsid w:val="00F136E4"/>
    <w:rsid w:val="00F13E7B"/>
    <w:rsid w:val="00F14210"/>
    <w:rsid w:val="00F14445"/>
    <w:rsid w:val="00F148ED"/>
    <w:rsid w:val="00F15015"/>
    <w:rsid w:val="00F159BF"/>
    <w:rsid w:val="00F15E11"/>
    <w:rsid w:val="00F15EF6"/>
    <w:rsid w:val="00F17210"/>
    <w:rsid w:val="00F17DDE"/>
    <w:rsid w:val="00F17EC2"/>
    <w:rsid w:val="00F17F75"/>
    <w:rsid w:val="00F202BD"/>
    <w:rsid w:val="00F2031D"/>
    <w:rsid w:val="00F20FF5"/>
    <w:rsid w:val="00F21E60"/>
    <w:rsid w:val="00F21F05"/>
    <w:rsid w:val="00F228C0"/>
    <w:rsid w:val="00F22937"/>
    <w:rsid w:val="00F2298D"/>
    <w:rsid w:val="00F22D19"/>
    <w:rsid w:val="00F230A4"/>
    <w:rsid w:val="00F230FB"/>
    <w:rsid w:val="00F2317C"/>
    <w:rsid w:val="00F238D3"/>
    <w:rsid w:val="00F23C37"/>
    <w:rsid w:val="00F23C9D"/>
    <w:rsid w:val="00F23D44"/>
    <w:rsid w:val="00F24AED"/>
    <w:rsid w:val="00F250E2"/>
    <w:rsid w:val="00F25443"/>
    <w:rsid w:val="00F25A17"/>
    <w:rsid w:val="00F25C38"/>
    <w:rsid w:val="00F2686C"/>
    <w:rsid w:val="00F26BCF"/>
    <w:rsid w:val="00F27444"/>
    <w:rsid w:val="00F30204"/>
    <w:rsid w:val="00F3033E"/>
    <w:rsid w:val="00F3052E"/>
    <w:rsid w:val="00F30C98"/>
    <w:rsid w:val="00F30F0C"/>
    <w:rsid w:val="00F315B1"/>
    <w:rsid w:val="00F31AF9"/>
    <w:rsid w:val="00F323F1"/>
    <w:rsid w:val="00F3285A"/>
    <w:rsid w:val="00F32B97"/>
    <w:rsid w:val="00F32CD3"/>
    <w:rsid w:val="00F32E0D"/>
    <w:rsid w:val="00F331D7"/>
    <w:rsid w:val="00F33300"/>
    <w:rsid w:val="00F33CDC"/>
    <w:rsid w:val="00F35093"/>
    <w:rsid w:val="00F3569D"/>
    <w:rsid w:val="00F35ABB"/>
    <w:rsid w:val="00F35FEB"/>
    <w:rsid w:val="00F4073D"/>
    <w:rsid w:val="00F40D31"/>
    <w:rsid w:val="00F41330"/>
    <w:rsid w:val="00F41466"/>
    <w:rsid w:val="00F41516"/>
    <w:rsid w:val="00F4170A"/>
    <w:rsid w:val="00F4171E"/>
    <w:rsid w:val="00F4301D"/>
    <w:rsid w:val="00F4369E"/>
    <w:rsid w:val="00F45144"/>
    <w:rsid w:val="00F456EB"/>
    <w:rsid w:val="00F45C17"/>
    <w:rsid w:val="00F45EF4"/>
    <w:rsid w:val="00F46499"/>
    <w:rsid w:val="00F46620"/>
    <w:rsid w:val="00F46827"/>
    <w:rsid w:val="00F50087"/>
    <w:rsid w:val="00F50990"/>
    <w:rsid w:val="00F50A9C"/>
    <w:rsid w:val="00F512CC"/>
    <w:rsid w:val="00F51798"/>
    <w:rsid w:val="00F51B3E"/>
    <w:rsid w:val="00F51C4E"/>
    <w:rsid w:val="00F51DF2"/>
    <w:rsid w:val="00F520AB"/>
    <w:rsid w:val="00F52588"/>
    <w:rsid w:val="00F525E9"/>
    <w:rsid w:val="00F52663"/>
    <w:rsid w:val="00F52823"/>
    <w:rsid w:val="00F5447D"/>
    <w:rsid w:val="00F5452A"/>
    <w:rsid w:val="00F54640"/>
    <w:rsid w:val="00F54D01"/>
    <w:rsid w:val="00F55036"/>
    <w:rsid w:val="00F56236"/>
    <w:rsid w:val="00F5661F"/>
    <w:rsid w:val="00F56CB6"/>
    <w:rsid w:val="00F5736F"/>
    <w:rsid w:val="00F61032"/>
    <w:rsid w:val="00F612C4"/>
    <w:rsid w:val="00F6249B"/>
    <w:rsid w:val="00F624EA"/>
    <w:rsid w:val="00F64375"/>
    <w:rsid w:val="00F64723"/>
    <w:rsid w:val="00F65121"/>
    <w:rsid w:val="00F6587A"/>
    <w:rsid w:val="00F65B27"/>
    <w:rsid w:val="00F65D9C"/>
    <w:rsid w:val="00F65EA6"/>
    <w:rsid w:val="00F668A2"/>
    <w:rsid w:val="00F66AA4"/>
    <w:rsid w:val="00F675FE"/>
    <w:rsid w:val="00F6791D"/>
    <w:rsid w:val="00F67E3D"/>
    <w:rsid w:val="00F7037B"/>
    <w:rsid w:val="00F71041"/>
    <w:rsid w:val="00F7108F"/>
    <w:rsid w:val="00F71377"/>
    <w:rsid w:val="00F717B4"/>
    <w:rsid w:val="00F71860"/>
    <w:rsid w:val="00F71E82"/>
    <w:rsid w:val="00F7209C"/>
    <w:rsid w:val="00F720D1"/>
    <w:rsid w:val="00F72122"/>
    <w:rsid w:val="00F7245D"/>
    <w:rsid w:val="00F7270E"/>
    <w:rsid w:val="00F72725"/>
    <w:rsid w:val="00F73486"/>
    <w:rsid w:val="00F73781"/>
    <w:rsid w:val="00F73B85"/>
    <w:rsid w:val="00F743B0"/>
    <w:rsid w:val="00F743E3"/>
    <w:rsid w:val="00F74846"/>
    <w:rsid w:val="00F74943"/>
    <w:rsid w:val="00F7557F"/>
    <w:rsid w:val="00F755A7"/>
    <w:rsid w:val="00F759B0"/>
    <w:rsid w:val="00F762CF"/>
    <w:rsid w:val="00F76EAF"/>
    <w:rsid w:val="00F776D9"/>
    <w:rsid w:val="00F804EF"/>
    <w:rsid w:val="00F80BED"/>
    <w:rsid w:val="00F815FC"/>
    <w:rsid w:val="00F81A93"/>
    <w:rsid w:val="00F81B34"/>
    <w:rsid w:val="00F81D8C"/>
    <w:rsid w:val="00F81F4B"/>
    <w:rsid w:val="00F820F0"/>
    <w:rsid w:val="00F823DD"/>
    <w:rsid w:val="00F82D2A"/>
    <w:rsid w:val="00F83383"/>
    <w:rsid w:val="00F84AAF"/>
    <w:rsid w:val="00F84DD8"/>
    <w:rsid w:val="00F85B14"/>
    <w:rsid w:val="00F85EA1"/>
    <w:rsid w:val="00F8620D"/>
    <w:rsid w:val="00F8755D"/>
    <w:rsid w:val="00F87D96"/>
    <w:rsid w:val="00F9075C"/>
    <w:rsid w:val="00F9092D"/>
    <w:rsid w:val="00F9243C"/>
    <w:rsid w:val="00F92680"/>
    <w:rsid w:val="00F92F03"/>
    <w:rsid w:val="00F94CD2"/>
    <w:rsid w:val="00F95ED1"/>
    <w:rsid w:val="00F9686E"/>
    <w:rsid w:val="00F96B5F"/>
    <w:rsid w:val="00F96EDC"/>
    <w:rsid w:val="00F970C6"/>
    <w:rsid w:val="00F97F14"/>
    <w:rsid w:val="00FA0980"/>
    <w:rsid w:val="00FA124F"/>
    <w:rsid w:val="00FA1AB6"/>
    <w:rsid w:val="00FA1B7E"/>
    <w:rsid w:val="00FA2CD4"/>
    <w:rsid w:val="00FA301E"/>
    <w:rsid w:val="00FA335B"/>
    <w:rsid w:val="00FA3F68"/>
    <w:rsid w:val="00FA4058"/>
    <w:rsid w:val="00FA4AB9"/>
    <w:rsid w:val="00FA4DB1"/>
    <w:rsid w:val="00FA4F30"/>
    <w:rsid w:val="00FA6549"/>
    <w:rsid w:val="00FA662A"/>
    <w:rsid w:val="00FA6632"/>
    <w:rsid w:val="00FA7A7D"/>
    <w:rsid w:val="00FA7E27"/>
    <w:rsid w:val="00FB0247"/>
    <w:rsid w:val="00FB1E7A"/>
    <w:rsid w:val="00FB37E2"/>
    <w:rsid w:val="00FB3B63"/>
    <w:rsid w:val="00FB3B67"/>
    <w:rsid w:val="00FB40E4"/>
    <w:rsid w:val="00FB4A1F"/>
    <w:rsid w:val="00FB59A1"/>
    <w:rsid w:val="00FB5D3C"/>
    <w:rsid w:val="00FB6C95"/>
    <w:rsid w:val="00FB7399"/>
    <w:rsid w:val="00FB758A"/>
    <w:rsid w:val="00FB78DA"/>
    <w:rsid w:val="00FB7900"/>
    <w:rsid w:val="00FB7998"/>
    <w:rsid w:val="00FB7B9A"/>
    <w:rsid w:val="00FC045F"/>
    <w:rsid w:val="00FC1B96"/>
    <w:rsid w:val="00FC1CA7"/>
    <w:rsid w:val="00FC1EFD"/>
    <w:rsid w:val="00FC21D5"/>
    <w:rsid w:val="00FC2590"/>
    <w:rsid w:val="00FC2B66"/>
    <w:rsid w:val="00FC2ED1"/>
    <w:rsid w:val="00FC36E0"/>
    <w:rsid w:val="00FC39EB"/>
    <w:rsid w:val="00FC3E66"/>
    <w:rsid w:val="00FC4022"/>
    <w:rsid w:val="00FC4362"/>
    <w:rsid w:val="00FC4406"/>
    <w:rsid w:val="00FC4565"/>
    <w:rsid w:val="00FC4802"/>
    <w:rsid w:val="00FC4980"/>
    <w:rsid w:val="00FC5059"/>
    <w:rsid w:val="00FC528A"/>
    <w:rsid w:val="00FC56D5"/>
    <w:rsid w:val="00FC576C"/>
    <w:rsid w:val="00FC5F5B"/>
    <w:rsid w:val="00FC752A"/>
    <w:rsid w:val="00FC7975"/>
    <w:rsid w:val="00FC7C62"/>
    <w:rsid w:val="00FD0DF9"/>
    <w:rsid w:val="00FD1ABF"/>
    <w:rsid w:val="00FD1E0E"/>
    <w:rsid w:val="00FD1E34"/>
    <w:rsid w:val="00FD2371"/>
    <w:rsid w:val="00FD45D8"/>
    <w:rsid w:val="00FD50A4"/>
    <w:rsid w:val="00FD5102"/>
    <w:rsid w:val="00FD5513"/>
    <w:rsid w:val="00FE04A5"/>
    <w:rsid w:val="00FE06A4"/>
    <w:rsid w:val="00FE0B70"/>
    <w:rsid w:val="00FE0C70"/>
    <w:rsid w:val="00FE1588"/>
    <w:rsid w:val="00FE1709"/>
    <w:rsid w:val="00FE3033"/>
    <w:rsid w:val="00FE32F8"/>
    <w:rsid w:val="00FE35CD"/>
    <w:rsid w:val="00FE3738"/>
    <w:rsid w:val="00FE476C"/>
    <w:rsid w:val="00FE52E6"/>
    <w:rsid w:val="00FE53EB"/>
    <w:rsid w:val="00FE5820"/>
    <w:rsid w:val="00FE599D"/>
    <w:rsid w:val="00FE5FF7"/>
    <w:rsid w:val="00FE703E"/>
    <w:rsid w:val="00FE73A7"/>
    <w:rsid w:val="00FE76BD"/>
    <w:rsid w:val="00FE7BD2"/>
    <w:rsid w:val="00FE7EE2"/>
    <w:rsid w:val="00FF06F7"/>
    <w:rsid w:val="00FF0F53"/>
    <w:rsid w:val="00FF10FD"/>
    <w:rsid w:val="00FF14D0"/>
    <w:rsid w:val="00FF14FE"/>
    <w:rsid w:val="00FF195A"/>
    <w:rsid w:val="00FF1AEB"/>
    <w:rsid w:val="00FF1DAA"/>
    <w:rsid w:val="00FF218D"/>
    <w:rsid w:val="00FF2B63"/>
    <w:rsid w:val="00FF3318"/>
    <w:rsid w:val="00FF550F"/>
    <w:rsid w:val="00FF5689"/>
    <w:rsid w:val="00FF5B97"/>
    <w:rsid w:val="00FF7006"/>
    <w:rsid w:val="00FF753E"/>
    <w:rsid w:val="00FF785A"/>
    <w:rsid w:val="00FF788F"/>
    <w:rsid w:val="00FF7EA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527DB1"/>
  <w15:chartTrackingRefBased/>
  <w15:docId w15:val="{1B93C441-D9DF-48A9-BA2A-506DCF5D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1B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B5F"/>
    <w:rPr>
      <w:rFonts w:ascii="Segoe UI" w:hAnsi="Segoe UI" w:cs="Segoe UI"/>
      <w:sz w:val="18"/>
      <w:szCs w:val="18"/>
      <w:lang w:val="en-GB"/>
    </w:rPr>
  </w:style>
  <w:style w:type="table" w:styleId="TableGrid">
    <w:name w:val="Table Grid"/>
    <w:basedOn w:val="TableNormal"/>
    <w:uiPriority w:val="39"/>
    <w:rsid w:val="005F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124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0F244C"/>
    <w:pPr>
      <w:tabs>
        <w:tab w:val="center" w:pos="4513"/>
        <w:tab w:val="right" w:pos="9026"/>
      </w:tabs>
      <w:spacing w:after="0" w:line="240" w:lineRule="auto"/>
    </w:pPr>
    <w:rPr>
      <w:lang w:val="en-IN"/>
    </w:rPr>
  </w:style>
  <w:style w:type="character" w:customStyle="1" w:styleId="HeaderChar">
    <w:name w:val="Header Char"/>
    <w:basedOn w:val="DefaultParagraphFont"/>
    <w:link w:val="Header"/>
    <w:rsid w:val="000F244C"/>
  </w:style>
  <w:style w:type="paragraph" w:styleId="Footer">
    <w:name w:val="footer"/>
    <w:basedOn w:val="Normal"/>
    <w:link w:val="FooterChar"/>
    <w:uiPriority w:val="99"/>
    <w:unhideWhenUsed/>
    <w:rsid w:val="000F244C"/>
    <w:pPr>
      <w:tabs>
        <w:tab w:val="center" w:pos="4513"/>
        <w:tab w:val="right" w:pos="9026"/>
      </w:tabs>
      <w:spacing w:after="0" w:line="240" w:lineRule="auto"/>
    </w:pPr>
    <w:rPr>
      <w:lang w:val="en-IN"/>
    </w:rPr>
  </w:style>
  <w:style w:type="character" w:customStyle="1" w:styleId="FooterChar">
    <w:name w:val="Footer Char"/>
    <w:basedOn w:val="DefaultParagraphFont"/>
    <w:link w:val="Footer"/>
    <w:uiPriority w:val="99"/>
    <w:rsid w:val="000F244C"/>
  </w:style>
  <w:style w:type="character" w:styleId="Hyperlink">
    <w:name w:val="Hyperlink"/>
    <w:basedOn w:val="DefaultParagraphFont"/>
    <w:uiPriority w:val="99"/>
    <w:unhideWhenUsed/>
    <w:rsid w:val="000F244C"/>
    <w:rPr>
      <w:color w:val="0563C1" w:themeColor="hyperlink"/>
      <w:u w:val="single"/>
    </w:rPr>
  </w:style>
  <w:style w:type="paragraph" w:styleId="ListParagraph">
    <w:name w:val="List Paragraph"/>
    <w:basedOn w:val="Normal"/>
    <w:uiPriority w:val="34"/>
    <w:qFormat/>
    <w:rsid w:val="004A244E"/>
    <w:pPr>
      <w:ind w:left="720"/>
      <w:contextualSpacing/>
    </w:pPr>
  </w:style>
  <w:style w:type="character" w:styleId="CommentReference">
    <w:name w:val="annotation reference"/>
    <w:basedOn w:val="DefaultParagraphFont"/>
    <w:uiPriority w:val="99"/>
    <w:semiHidden/>
    <w:unhideWhenUsed/>
    <w:rsid w:val="00A431BE"/>
    <w:rPr>
      <w:sz w:val="16"/>
      <w:szCs w:val="16"/>
    </w:rPr>
  </w:style>
  <w:style w:type="paragraph" w:styleId="CommentText">
    <w:name w:val="annotation text"/>
    <w:basedOn w:val="Normal"/>
    <w:link w:val="CommentTextChar"/>
    <w:uiPriority w:val="99"/>
    <w:unhideWhenUsed/>
    <w:rsid w:val="00A431BE"/>
    <w:pPr>
      <w:spacing w:line="240" w:lineRule="auto"/>
    </w:pPr>
    <w:rPr>
      <w:sz w:val="20"/>
      <w:szCs w:val="20"/>
    </w:rPr>
  </w:style>
  <w:style w:type="character" w:customStyle="1" w:styleId="CommentTextChar">
    <w:name w:val="Comment Text Char"/>
    <w:basedOn w:val="DefaultParagraphFont"/>
    <w:link w:val="CommentText"/>
    <w:uiPriority w:val="99"/>
    <w:rsid w:val="00A431BE"/>
    <w:rPr>
      <w:sz w:val="20"/>
      <w:szCs w:val="20"/>
      <w:lang w:val="en-GB"/>
    </w:rPr>
  </w:style>
  <w:style w:type="paragraph" w:styleId="CommentSubject">
    <w:name w:val="annotation subject"/>
    <w:basedOn w:val="CommentText"/>
    <w:next w:val="CommentText"/>
    <w:link w:val="CommentSubjectChar"/>
    <w:uiPriority w:val="99"/>
    <w:semiHidden/>
    <w:unhideWhenUsed/>
    <w:rsid w:val="00A431BE"/>
    <w:rPr>
      <w:b/>
      <w:bCs/>
    </w:rPr>
  </w:style>
  <w:style w:type="character" w:customStyle="1" w:styleId="CommentSubjectChar">
    <w:name w:val="Comment Subject Char"/>
    <w:basedOn w:val="CommentTextChar"/>
    <w:link w:val="CommentSubject"/>
    <w:uiPriority w:val="99"/>
    <w:semiHidden/>
    <w:rsid w:val="00A431BE"/>
    <w:rPr>
      <w:b/>
      <w:bCs/>
      <w:sz w:val="20"/>
      <w:szCs w:val="20"/>
      <w:lang w:val="en-GB"/>
    </w:rPr>
  </w:style>
  <w:style w:type="character" w:customStyle="1" w:styleId="UnresolvedMention">
    <w:name w:val="Unresolved Mention"/>
    <w:basedOn w:val="DefaultParagraphFont"/>
    <w:uiPriority w:val="99"/>
    <w:unhideWhenUsed/>
    <w:rsid w:val="00E54F7D"/>
    <w:rPr>
      <w:color w:val="605E5C"/>
      <w:shd w:val="clear" w:color="auto" w:fill="E1DFDD"/>
    </w:rPr>
  </w:style>
  <w:style w:type="paragraph" w:styleId="NormalWeb">
    <w:name w:val="Normal (Web)"/>
    <w:basedOn w:val="Normal"/>
    <w:uiPriority w:val="99"/>
    <w:semiHidden/>
    <w:unhideWhenUsed/>
    <w:rsid w:val="007B0B9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Revision">
    <w:name w:val="Revision"/>
    <w:hidden/>
    <w:uiPriority w:val="99"/>
    <w:semiHidden/>
    <w:rsid w:val="006E3D5D"/>
    <w:pPr>
      <w:spacing w:after="0" w:line="240" w:lineRule="auto"/>
    </w:pPr>
    <w:rPr>
      <w:lang w:val="en-GB"/>
    </w:rPr>
  </w:style>
  <w:style w:type="character" w:styleId="FollowedHyperlink">
    <w:name w:val="FollowedHyperlink"/>
    <w:basedOn w:val="DefaultParagraphFont"/>
    <w:uiPriority w:val="99"/>
    <w:semiHidden/>
    <w:unhideWhenUsed/>
    <w:rsid w:val="001E2A0D"/>
    <w:rPr>
      <w:color w:val="954F72" w:themeColor="followedHyperlink"/>
      <w:u w:val="single"/>
    </w:rPr>
  </w:style>
  <w:style w:type="character" w:customStyle="1" w:styleId="ref-journal">
    <w:name w:val="ref-journal"/>
    <w:basedOn w:val="DefaultParagraphFont"/>
    <w:rsid w:val="00FC752A"/>
  </w:style>
  <w:style w:type="character" w:customStyle="1" w:styleId="ref-vol">
    <w:name w:val="ref-vol"/>
    <w:basedOn w:val="DefaultParagraphFont"/>
    <w:rsid w:val="00FC752A"/>
  </w:style>
  <w:style w:type="character" w:customStyle="1" w:styleId="ref-title">
    <w:name w:val="ref-title"/>
    <w:basedOn w:val="DefaultParagraphFont"/>
    <w:rsid w:val="00054A0D"/>
  </w:style>
  <w:style w:type="character" w:customStyle="1" w:styleId="ref-iss">
    <w:name w:val="ref-iss"/>
    <w:basedOn w:val="DefaultParagraphFont"/>
    <w:rsid w:val="00054A0D"/>
  </w:style>
  <w:style w:type="character" w:styleId="LineNumber">
    <w:name w:val="line number"/>
    <w:basedOn w:val="DefaultParagraphFont"/>
    <w:uiPriority w:val="99"/>
    <w:semiHidden/>
    <w:unhideWhenUsed/>
    <w:rsid w:val="00C65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5370">
      <w:bodyDiv w:val="1"/>
      <w:marLeft w:val="0"/>
      <w:marRight w:val="0"/>
      <w:marTop w:val="0"/>
      <w:marBottom w:val="0"/>
      <w:divBdr>
        <w:top w:val="none" w:sz="0" w:space="0" w:color="auto"/>
        <w:left w:val="none" w:sz="0" w:space="0" w:color="auto"/>
        <w:bottom w:val="none" w:sz="0" w:space="0" w:color="auto"/>
        <w:right w:val="none" w:sz="0" w:space="0" w:color="auto"/>
      </w:divBdr>
      <w:divsChild>
        <w:div w:id="2011446834">
          <w:marLeft w:val="274"/>
          <w:marRight w:val="0"/>
          <w:marTop w:val="0"/>
          <w:marBottom w:val="0"/>
          <w:divBdr>
            <w:top w:val="none" w:sz="0" w:space="0" w:color="auto"/>
            <w:left w:val="none" w:sz="0" w:space="0" w:color="auto"/>
            <w:bottom w:val="none" w:sz="0" w:space="0" w:color="auto"/>
            <w:right w:val="none" w:sz="0" w:space="0" w:color="auto"/>
          </w:divBdr>
        </w:div>
        <w:div w:id="1530921721">
          <w:marLeft w:val="274"/>
          <w:marRight w:val="0"/>
          <w:marTop w:val="0"/>
          <w:marBottom w:val="0"/>
          <w:divBdr>
            <w:top w:val="none" w:sz="0" w:space="0" w:color="auto"/>
            <w:left w:val="none" w:sz="0" w:space="0" w:color="auto"/>
            <w:bottom w:val="none" w:sz="0" w:space="0" w:color="auto"/>
            <w:right w:val="none" w:sz="0" w:space="0" w:color="auto"/>
          </w:divBdr>
        </w:div>
      </w:divsChild>
    </w:div>
    <w:div w:id="70465195">
      <w:bodyDiv w:val="1"/>
      <w:marLeft w:val="0"/>
      <w:marRight w:val="0"/>
      <w:marTop w:val="0"/>
      <w:marBottom w:val="0"/>
      <w:divBdr>
        <w:top w:val="none" w:sz="0" w:space="0" w:color="auto"/>
        <w:left w:val="none" w:sz="0" w:space="0" w:color="auto"/>
        <w:bottom w:val="none" w:sz="0" w:space="0" w:color="auto"/>
        <w:right w:val="none" w:sz="0" w:space="0" w:color="auto"/>
      </w:divBdr>
    </w:div>
    <w:div w:id="85881644">
      <w:bodyDiv w:val="1"/>
      <w:marLeft w:val="0"/>
      <w:marRight w:val="0"/>
      <w:marTop w:val="0"/>
      <w:marBottom w:val="0"/>
      <w:divBdr>
        <w:top w:val="none" w:sz="0" w:space="0" w:color="auto"/>
        <w:left w:val="none" w:sz="0" w:space="0" w:color="auto"/>
        <w:bottom w:val="none" w:sz="0" w:space="0" w:color="auto"/>
        <w:right w:val="none" w:sz="0" w:space="0" w:color="auto"/>
      </w:divBdr>
    </w:div>
    <w:div w:id="138349642">
      <w:bodyDiv w:val="1"/>
      <w:marLeft w:val="0"/>
      <w:marRight w:val="0"/>
      <w:marTop w:val="0"/>
      <w:marBottom w:val="0"/>
      <w:divBdr>
        <w:top w:val="none" w:sz="0" w:space="0" w:color="auto"/>
        <w:left w:val="none" w:sz="0" w:space="0" w:color="auto"/>
        <w:bottom w:val="none" w:sz="0" w:space="0" w:color="auto"/>
        <w:right w:val="none" w:sz="0" w:space="0" w:color="auto"/>
      </w:divBdr>
    </w:div>
    <w:div w:id="150098169">
      <w:bodyDiv w:val="1"/>
      <w:marLeft w:val="0"/>
      <w:marRight w:val="0"/>
      <w:marTop w:val="0"/>
      <w:marBottom w:val="0"/>
      <w:divBdr>
        <w:top w:val="none" w:sz="0" w:space="0" w:color="auto"/>
        <w:left w:val="none" w:sz="0" w:space="0" w:color="auto"/>
        <w:bottom w:val="none" w:sz="0" w:space="0" w:color="auto"/>
        <w:right w:val="none" w:sz="0" w:space="0" w:color="auto"/>
      </w:divBdr>
    </w:div>
    <w:div w:id="157233451">
      <w:bodyDiv w:val="1"/>
      <w:marLeft w:val="0"/>
      <w:marRight w:val="0"/>
      <w:marTop w:val="0"/>
      <w:marBottom w:val="0"/>
      <w:divBdr>
        <w:top w:val="none" w:sz="0" w:space="0" w:color="auto"/>
        <w:left w:val="none" w:sz="0" w:space="0" w:color="auto"/>
        <w:bottom w:val="none" w:sz="0" w:space="0" w:color="auto"/>
        <w:right w:val="none" w:sz="0" w:space="0" w:color="auto"/>
      </w:divBdr>
    </w:div>
    <w:div w:id="186069516">
      <w:bodyDiv w:val="1"/>
      <w:marLeft w:val="0"/>
      <w:marRight w:val="0"/>
      <w:marTop w:val="0"/>
      <w:marBottom w:val="0"/>
      <w:divBdr>
        <w:top w:val="none" w:sz="0" w:space="0" w:color="auto"/>
        <w:left w:val="none" w:sz="0" w:space="0" w:color="auto"/>
        <w:bottom w:val="none" w:sz="0" w:space="0" w:color="auto"/>
        <w:right w:val="none" w:sz="0" w:space="0" w:color="auto"/>
      </w:divBdr>
    </w:div>
    <w:div w:id="243879943">
      <w:bodyDiv w:val="1"/>
      <w:marLeft w:val="0"/>
      <w:marRight w:val="0"/>
      <w:marTop w:val="0"/>
      <w:marBottom w:val="0"/>
      <w:divBdr>
        <w:top w:val="none" w:sz="0" w:space="0" w:color="auto"/>
        <w:left w:val="none" w:sz="0" w:space="0" w:color="auto"/>
        <w:bottom w:val="none" w:sz="0" w:space="0" w:color="auto"/>
        <w:right w:val="none" w:sz="0" w:space="0" w:color="auto"/>
      </w:divBdr>
      <w:divsChild>
        <w:div w:id="1897550757">
          <w:marLeft w:val="274"/>
          <w:marRight w:val="0"/>
          <w:marTop w:val="150"/>
          <w:marBottom w:val="0"/>
          <w:divBdr>
            <w:top w:val="none" w:sz="0" w:space="0" w:color="auto"/>
            <w:left w:val="none" w:sz="0" w:space="0" w:color="auto"/>
            <w:bottom w:val="none" w:sz="0" w:space="0" w:color="auto"/>
            <w:right w:val="none" w:sz="0" w:space="0" w:color="auto"/>
          </w:divBdr>
        </w:div>
      </w:divsChild>
    </w:div>
    <w:div w:id="273560867">
      <w:bodyDiv w:val="1"/>
      <w:marLeft w:val="0"/>
      <w:marRight w:val="0"/>
      <w:marTop w:val="0"/>
      <w:marBottom w:val="0"/>
      <w:divBdr>
        <w:top w:val="none" w:sz="0" w:space="0" w:color="auto"/>
        <w:left w:val="none" w:sz="0" w:space="0" w:color="auto"/>
        <w:bottom w:val="none" w:sz="0" w:space="0" w:color="auto"/>
        <w:right w:val="none" w:sz="0" w:space="0" w:color="auto"/>
      </w:divBdr>
    </w:div>
    <w:div w:id="348336746">
      <w:bodyDiv w:val="1"/>
      <w:marLeft w:val="0"/>
      <w:marRight w:val="0"/>
      <w:marTop w:val="0"/>
      <w:marBottom w:val="0"/>
      <w:divBdr>
        <w:top w:val="none" w:sz="0" w:space="0" w:color="auto"/>
        <w:left w:val="none" w:sz="0" w:space="0" w:color="auto"/>
        <w:bottom w:val="none" w:sz="0" w:space="0" w:color="auto"/>
        <w:right w:val="none" w:sz="0" w:space="0" w:color="auto"/>
      </w:divBdr>
    </w:div>
    <w:div w:id="533159179">
      <w:bodyDiv w:val="1"/>
      <w:marLeft w:val="0"/>
      <w:marRight w:val="0"/>
      <w:marTop w:val="0"/>
      <w:marBottom w:val="0"/>
      <w:divBdr>
        <w:top w:val="none" w:sz="0" w:space="0" w:color="auto"/>
        <w:left w:val="none" w:sz="0" w:space="0" w:color="auto"/>
        <w:bottom w:val="none" w:sz="0" w:space="0" w:color="auto"/>
        <w:right w:val="none" w:sz="0" w:space="0" w:color="auto"/>
      </w:divBdr>
    </w:div>
    <w:div w:id="771969601">
      <w:bodyDiv w:val="1"/>
      <w:marLeft w:val="0"/>
      <w:marRight w:val="0"/>
      <w:marTop w:val="0"/>
      <w:marBottom w:val="0"/>
      <w:divBdr>
        <w:top w:val="none" w:sz="0" w:space="0" w:color="auto"/>
        <w:left w:val="none" w:sz="0" w:space="0" w:color="auto"/>
        <w:bottom w:val="none" w:sz="0" w:space="0" w:color="auto"/>
        <w:right w:val="none" w:sz="0" w:space="0" w:color="auto"/>
      </w:divBdr>
    </w:div>
    <w:div w:id="781146597">
      <w:bodyDiv w:val="1"/>
      <w:marLeft w:val="0"/>
      <w:marRight w:val="0"/>
      <w:marTop w:val="0"/>
      <w:marBottom w:val="0"/>
      <w:divBdr>
        <w:top w:val="none" w:sz="0" w:space="0" w:color="auto"/>
        <w:left w:val="none" w:sz="0" w:space="0" w:color="auto"/>
        <w:bottom w:val="none" w:sz="0" w:space="0" w:color="auto"/>
        <w:right w:val="none" w:sz="0" w:space="0" w:color="auto"/>
      </w:divBdr>
    </w:div>
    <w:div w:id="985469910">
      <w:bodyDiv w:val="1"/>
      <w:marLeft w:val="0"/>
      <w:marRight w:val="0"/>
      <w:marTop w:val="0"/>
      <w:marBottom w:val="0"/>
      <w:divBdr>
        <w:top w:val="none" w:sz="0" w:space="0" w:color="auto"/>
        <w:left w:val="none" w:sz="0" w:space="0" w:color="auto"/>
        <w:bottom w:val="none" w:sz="0" w:space="0" w:color="auto"/>
        <w:right w:val="none" w:sz="0" w:space="0" w:color="auto"/>
      </w:divBdr>
    </w:div>
    <w:div w:id="986203916">
      <w:bodyDiv w:val="1"/>
      <w:marLeft w:val="0"/>
      <w:marRight w:val="0"/>
      <w:marTop w:val="0"/>
      <w:marBottom w:val="0"/>
      <w:divBdr>
        <w:top w:val="none" w:sz="0" w:space="0" w:color="auto"/>
        <w:left w:val="none" w:sz="0" w:space="0" w:color="auto"/>
        <w:bottom w:val="none" w:sz="0" w:space="0" w:color="auto"/>
        <w:right w:val="none" w:sz="0" w:space="0" w:color="auto"/>
      </w:divBdr>
    </w:div>
    <w:div w:id="1001468724">
      <w:bodyDiv w:val="1"/>
      <w:marLeft w:val="0"/>
      <w:marRight w:val="0"/>
      <w:marTop w:val="0"/>
      <w:marBottom w:val="0"/>
      <w:divBdr>
        <w:top w:val="none" w:sz="0" w:space="0" w:color="auto"/>
        <w:left w:val="none" w:sz="0" w:space="0" w:color="auto"/>
        <w:bottom w:val="none" w:sz="0" w:space="0" w:color="auto"/>
        <w:right w:val="none" w:sz="0" w:space="0" w:color="auto"/>
      </w:divBdr>
    </w:div>
    <w:div w:id="1020424713">
      <w:bodyDiv w:val="1"/>
      <w:marLeft w:val="0"/>
      <w:marRight w:val="0"/>
      <w:marTop w:val="0"/>
      <w:marBottom w:val="0"/>
      <w:divBdr>
        <w:top w:val="none" w:sz="0" w:space="0" w:color="auto"/>
        <w:left w:val="none" w:sz="0" w:space="0" w:color="auto"/>
        <w:bottom w:val="none" w:sz="0" w:space="0" w:color="auto"/>
        <w:right w:val="none" w:sz="0" w:space="0" w:color="auto"/>
      </w:divBdr>
    </w:div>
    <w:div w:id="1026129484">
      <w:bodyDiv w:val="1"/>
      <w:marLeft w:val="0"/>
      <w:marRight w:val="0"/>
      <w:marTop w:val="0"/>
      <w:marBottom w:val="0"/>
      <w:divBdr>
        <w:top w:val="none" w:sz="0" w:space="0" w:color="auto"/>
        <w:left w:val="none" w:sz="0" w:space="0" w:color="auto"/>
        <w:bottom w:val="none" w:sz="0" w:space="0" w:color="auto"/>
        <w:right w:val="none" w:sz="0" w:space="0" w:color="auto"/>
      </w:divBdr>
    </w:div>
    <w:div w:id="1103498321">
      <w:bodyDiv w:val="1"/>
      <w:marLeft w:val="0"/>
      <w:marRight w:val="0"/>
      <w:marTop w:val="0"/>
      <w:marBottom w:val="0"/>
      <w:divBdr>
        <w:top w:val="none" w:sz="0" w:space="0" w:color="auto"/>
        <w:left w:val="none" w:sz="0" w:space="0" w:color="auto"/>
        <w:bottom w:val="none" w:sz="0" w:space="0" w:color="auto"/>
        <w:right w:val="none" w:sz="0" w:space="0" w:color="auto"/>
      </w:divBdr>
      <w:divsChild>
        <w:div w:id="1985428367">
          <w:marLeft w:val="274"/>
          <w:marRight w:val="0"/>
          <w:marTop w:val="150"/>
          <w:marBottom w:val="0"/>
          <w:divBdr>
            <w:top w:val="none" w:sz="0" w:space="0" w:color="auto"/>
            <w:left w:val="none" w:sz="0" w:space="0" w:color="auto"/>
            <w:bottom w:val="none" w:sz="0" w:space="0" w:color="auto"/>
            <w:right w:val="none" w:sz="0" w:space="0" w:color="auto"/>
          </w:divBdr>
        </w:div>
        <w:div w:id="1030422591">
          <w:marLeft w:val="274"/>
          <w:marRight w:val="0"/>
          <w:marTop w:val="150"/>
          <w:marBottom w:val="0"/>
          <w:divBdr>
            <w:top w:val="none" w:sz="0" w:space="0" w:color="auto"/>
            <w:left w:val="none" w:sz="0" w:space="0" w:color="auto"/>
            <w:bottom w:val="none" w:sz="0" w:space="0" w:color="auto"/>
            <w:right w:val="none" w:sz="0" w:space="0" w:color="auto"/>
          </w:divBdr>
        </w:div>
        <w:div w:id="1944726172">
          <w:marLeft w:val="274"/>
          <w:marRight w:val="0"/>
          <w:marTop w:val="150"/>
          <w:marBottom w:val="0"/>
          <w:divBdr>
            <w:top w:val="none" w:sz="0" w:space="0" w:color="auto"/>
            <w:left w:val="none" w:sz="0" w:space="0" w:color="auto"/>
            <w:bottom w:val="none" w:sz="0" w:space="0" w:color="auto"/>
            <w:right w:val="none" w:sz="0" w:space="0" w:color="auto"/>
          </w:divBdr>
        </w:div>
      </w:divsChild>
    </w:div>
    <w:div w:id="1126118462">
      <w:bodyDiv w:val="1"/>
      <w:marLeft w:val="0"/>
      <w:marRight w:val="0"/>
      <w:marTop w:val="0"/>
      <w:marBottom w:val="0"/>
      <w:divBdr>
        <w:top w:val="none" w:sz="0" w:space="0" w:color="auto"/>
        <w:left w:val="none" w:sz="0" w:space="0" w:color="auto"/>
        <w:bottom w:val="none" w:sz="0" w:space="0" w:color="auto"/>
        <w:right w:val="none" w:sz="0" w:space="0" w:color="auto"/>
      </w:divBdr>
    </w:div>
    <w:div w:id="1168983349">
      <w:bodyDiv w:val="1"/>
      <w:marLeft w:val="0"/>
      <w:marRight w:val="0"/>
      <w:marTop w:val="0"/>
      <w:marBottom w:val="0"/>
      <w:divBdr>
        <w:top w:val="none" w:sz="0" w:space="0" w:color="auto"/>
        <w:left w:val="none" w:sz="0" w:space="0" w:color="auto"/>
        <w:bottom w:val="none" w:sz="0" w:space="0" w:color="auto"/>
        <w:right w:val="none" w:sz="0" w:space="0" w:color="auto"/>
      </w:divBdr>
      <w:divsChild>
        <w:div w:id="604579634">
          <w:marLeft w:val="360"/>
          <w:marRight w:val="0"/>
          <w:marTop w:val="0"/>
          <w:marBottom w:val="120"/>
          <w:divBdr>
            <w:top w:val="none" w:sz="0" w:space="0" w:color="auto"/>
            <w:left w:val="none" w:sz="0" w:space="0" w:color="auto"/>
            <w:bottom w:val="none" w:sz="0" w:space="0" w:color="auto"/>
            <w:right w:val="none" w:sz="0" w:space="0" w:color="auto"/>
          </w:divBdr>
        </w:div>
      </w:divsChild>
    </w:div>
    <w:div w:id="1172648543">
      <w:bodyDiv w:val="1"/>
      <w:marLeft w:val="0"/>
      <w:marRight w:val="0"/>
      <w:marTop w:val="0"/>
      <w:marBottom w:val="0"/>
      <w:divBdr>
        <w:top w:val="none" w:sz="0" w:space="0" w:color="auto"/>
        <w:left w:val="none" w:sz="0" w:space="0" w:color="auto"/>
        <w:bottom w:val="none" w:sz="0" w:space="0" w:color="auto"/>
        <w:right w:val="none" w:sz="0" w:space="0" w:color="auto"/>
      </w:divBdr>
    </w:div>
    <w:div w:id="1344631046">
      <w:bodyDiv w:val="1"/>
      <w:marLeft w:val="0"/>
      <w:marRight w:val="0"/>
      <w:marTop w:val="0"/>
      <w:marBottom w:val="0"/>
      <w:divBdr>
        <w:top w:val="none" w:sz="0" w:space="0" w:color="auto"/>
        <w:left w:val="none" w:sz="0" w:space="0" w:color="auto"/>
        <w:bottom w:val="none" w:sz="0" w:space="0" w:color="auto"/>
        <w:right w:val="none" w:sz="0" w:space="0" w:color="auto"/>
      </w:divBdr>
    </w:div>
    <w:div w:id="1348411057">
      <w:bodyDiv w:val="1"/>
      <w:marLeft w:val="0"/>
      <w:marRight w:val="0"/>
      <w:marTop w:val="0"/>
      <w:marBottom w:val="0"/>
      <w:divBdr>
        <w:top w:val="none" w:sz="0" w:space="0" w:color="auto"/>
        <w:left w:val="none" w:sz="0" w:space="0" w:color="auto"/>
        <w:bottom w:val="none" w:sz="0" w:space="0" w:color="auto"/>
        <w:right w:val="none" w:sz="0" w:space="0" w:color="auto"/>
      </w:divBdr>
    </w:div>
    <w:div w:id="1439595393">
      <w:bodyDiv w:val="1"/>
      <w:marLeft w:val="0"/>
      <w:marRight w:val="0"/>
      <w:marTop w:val="0"/>
      <w:marBottom w:val="0"/>
      <w:divBdr>
        <w:top w:val="none" w:sz="0" w:space="0" w:color="auto"/>
        <w:left w:val="none" w:sz="0" w:space="0" w:color="auto"/>
        <w:bottom w:val="none" w:sz="0" w:space="0" w:color="auto"/>
        <w:right w:val="none" w:sz="0" w:space="0" w:color="auto"/>
      </w:divBdr>
    </w:div>
    <w:div w:id="1519199057">
      <w:bodyDiv w:val="1"/>
      <w:marLeft w:val="0"/>
      <w:marRight w:val="0"/>
      <w:marTop w:val="0"/>
      <w:marBottom w:val="0"/>
      <w:divBdr>
        <w:top w:val="none" w:sz="0" w:space="0" w:color="auto"/>
        <w:left w:val="none" w:sz="0" w:space="0" w:color="auto"/>
        <w:bottom w:val="none" w:sz="0" w:space="0" w:color="auto"/>
        <w:right w:val="none" w:sz="0" w:space="0" w:color="auto"/>
      </w:divBdr>
    </w:div>
    <w:div w:id="1571967775">
      <w:bodyDiv w:val="1"/>
      <w:marLeft w:val="0"/>
      <w:marRight w:val="0"/>
      <w:marTop w:val="0"/>
      <w:marBottom w:val="0"/>
      <w:divBdr>
        <w:top w:val="none" w:sz="0" w:space="0" w:color="auto"/>
        <w:left w:val="none" w:sz="0" w:space="0" w:color="auto"/>
        <w:bottom w:val="none" w:sz="0" w:space="0" w:color="auto"/>
        <w:right w:val="none" w:sz="0" w:space="0" w:color="auto"/>
      </w:divBdr>
    </w:div>
    <w:div w:id="1717780614">
      <w:bodyDiv w:val="1"/>
      <w:marLeft w:val="0"/>
      <w:marRight w:val="0"/>
      <w:marTop w:val="0"/>
      <w:marBottom w:val="0"/>
      <w:divBdr>
        <w:top w:val="none" w:sz="0" w:space="0" w:color="auto"/>
        <w:left w:val="none" w:sz="0" w:space="0" w:color="auto"/>
        <w:bottom w:val="none" w:sz="0" w:space="0" w:color="auto"/>
        <w:right w:val="none" w:sz="0" w:space="0" w:color="auto"/>
      </w:divBdr>
    </w:div>
    <w:div w:id="1975283475">
      <w:bodyDiv w:val="1"/>
      <w:marLeft w:val="0"/>
      <w:marRight w:val="0"/>
      <w:marTop w:val="0"/>
      <w:marBottom w:val="0"/>
      <w:divBdr>
        <w:top w:val="none" w:sz="0" w:space="0" w:color="auto"/>
        <w:left w:val="none" w:sz="0" w:space="0" w:color="auto"/>
        <w:bottom w:val="none" w:sz="0" w:space="0" w:color="auto"/>
        <w:right w:val="none" w:sz="0" w:space="0" w:color="auto"/>
      </w:divBdr>
    </w:div>
    <w:div w:id="2005434081">
      <w:bodyDiv w:val="1"/>
      <w:marLeft w:val="0"/>
      <w:marRight w:val="0"/>
      <w:marTop w:val="0"/>
      <w:marBottom w:val="0"/>
      <w:divBdr>
        <w:top w:val="none" w:sz="0" w:space="0" w:color="auto"/>
        <w:left w:val="none" w:sz="0" w:space="0" w:color="auto"/>
        <w:bottom w:val="none" w:sz="0" w:space="0" w:color="auto"/>
        <w:right w:val="none" w:sz="0" w:space="0" w:color="auto"/>
      </w:divBdr>
    </w:div>
    <w:div w:id="2037728691">
      <w:bodyDiv w:val="1"/>
      <w:marLeft w:val="0"/>
      <w:marRight w:val="0"/>
      <w:marTop w:val="0"/>
      <w:marBottom w:val="0"/>
      <w:divBdr>
        <w:top w:val="none" w:sz="0" w:space="0" w:color="auto"/>
        <w:left w:val="none" w:sz="0" w:space="0" w:color="auto"/>
        <w:bottom w:val="none" w:sz="0" w:space="0" w:color="auto"/>
        <w:right w:val="none" w:sz="0" w:space="0" w:color="auto"/>
      </w:divBdr>
    </w:div>
    <w:div w:id="2048066300">
      <w:bodyDiv w:val="1"/>
      <w:marLeft w:val="0"/>
      <w:marRight w:val="0"/>
      <w:marTop w:val="0"/>
      <w:marBottom w:val="0"/>
      <w:divBdr>
        <w:top w:val="none" w:sz="0" w:space="0" w:color="auto"/>
        <w:left w:val="none" w:sz="0" w:space="0" w:color="auto"/>
        <w:bottom w:val="none" w:sz="0" w:space="0" w:color="auto"/>
        <w:right w:val="none" w:sz="0" w:space="0" w:color="auto"/>
      </w:divBdr>
      <w:divsChild>
        <w:div w:id="368579338">
          <w:marLeft w:val="274"/>
          <w:marRight w:val="0"/>
          <w:marTop w:val="150"/>
          <w:marBottom w:val="0"/>
          <w:divBdr>
            <w:top w:val="none" w:sz="0" w:space="0" w:color="auto"/>
            <w:left w:val="none" w:sz="0" w:space="0" w:color="auto"/>
            <w:bottom w:val="none" w:sz="0" w:space="0" w:color="auto"/>
            <w:right w:val="none" w:sz="0" w:space="0" w:color="auto"/>
          </w:divBdr>
        </w:div>
      </w:divsChild>
    </w:div>
    <w:div w:id="208819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thibipin54@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ivli.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2EFDB-60E9-4A5B-A86A-880FAEDDE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6670</Words>
  <Characters>38024</Characters>
  <Application>Microsoft Office Word</Application>
  <DocSecurity>0</DocSecurity>
  <Lines>316</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Mishra, Silpi /IN</dc:creator>
  <cp:keywords/>
  <dc:description/>
  <cp:lastModifiedBy>Sumeyye Soydemir</cp:lastModifiedBy>
  <cp:revision>2</cp:revision>
  <dcterms:created xsi:type="dcterms:W3CDTF">2022-06-01T15:43:00Z</dcterms:created>
  <dcterms:modified xsi:type="dcterms:W3CDTF">2022-06-01T15:43:00Z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-1879017161</vt:i4>
  </property>
  <property fmtid="{D5CDD505-2E9C-101B-9397-08002B2CF9AE}" pid="4" name="_EmailSubject">
    <vt:lpwstr>ARTEMIS-DM | Primary Manuscript | First draft for review: Due by 20 Jan </vt:lpwstr>
  </property>
  <property fmtid="{D5CDD505-2E9C-101B-9397-08002B2CF9AE}" pid="5" name="_AuthorEmail">
    <vt:lpwstr>Valerie.Pilorget@sanofi.com</vt:lpwstr>
  </property>
  <property fmtid="{D5CDD505-2E9C-101B-9397-08002B2CF9AE}" pid="6" name="_AuthorEmailDisplayName">
    <vt:lpwstr>Pilorget, Valerie /FR</vt:lpwstr>
  </property>
  <property fmtid="{D5CDD505-2E9C-101B-9397-08002B2CF9AE}" pid="7" name="_ReviewingToolsShownOnce">
    <vt:lpwstr/>
  </property>
</Properties>
</file>